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FE" w:rsidRDefault="00D072C7">
      <w:pPr>
        <w:pStyle w:val="BodyText"/>
        <w:ind w:left="110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6294A3" wp14:editId="1AECD781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4143375" cy="838200"/>
            <wp:effectExtent l="0" t="0" r="9525" b="0"/>
            <wp:wrapTopAndBottom/>
            <wp:docPr id="16" name="Picture 16" descr="BHC_logo_1linetag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HC_logo_1linetag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5FE" w:rsidRDefault="004524D1">
      <w:pPr>
        <w:pStyle w:val="Title"/>
      </w:pPr>
      <w:r>
        <w:t xml:space="preserve">The Brooklyn Hospital Center </w:t>
      </w:r>
      <w:r w:rsidR="00EC73F1">
        <w:t>Financial</w:t>
      </w:r>
      <w:r w:rsidR="00EC73F1">
        <w:rPr>
          <w:spacing w:val="-18"/>
        </w:rPr>
        <w:t xml:space="preserve"> </w:t>
      </w:r>
      <w:bookmarkStart w:id="0" w:name="_GoBack"/>
      <w:bookmarkEnd w:id="0"/>
      <w:r w:rsidR="00EC73F1">
        <w:t>Assistance</w:t>
      </w:r>
      <w:r w:rsidR="00EC73F1">
        <w:rPr>
          <w:spacing w:val="-17"/>
        </w:rPr>
        <w:t xml:space="preserve"> </w:t>
      </w:r>
      <w:r w:rsidR="00EC73F1">
        <w:t>Policy Plain Language Summary</w:t>
      </w:r>
    </w:p>
    <w:p w:rsidR="005135FE" w:rsidRDefault="00A50924">
      <w:pPr>
        <w:spacing w:before="214"/>
        <w:ind w:left="218" w:right="160"/>
        <w:rPr>
          <w:sz w:val="24"/>
        </w:rPr>
      </w:pPr>
      <w:r w:rsidRPr="003E7AEB">
        <w:rPr>
          <w:sz w:val="24"/>
        </w:rPr>
        <w:t>Here at The Brooklyn Hospital Center (TBHC)</w:t>
      </w:r>
      <w:r w:rsidR="00EC73F1" w:rsidRPr="003E7AEB">
        <w:rPr>
          <w:sz w:val="24"/>
        </w:rPr>
        <w:t xml:space="preserve"> we are committed to providing</w:t>
      </w:r>
      <w:r w:rsidRPr="003E7AEB">
        <w:rPr>
          <w:sz w:val="24"/>
        </w:rPr>
        <w:t xml:space="preserve"> you with</w:t>
      </w:r>
      <w:r w:rsidR="00EC73F1" w:rsidRPr="003E7AEB">
        <w:rPr>
          <w:sz w:val="24"/>
        </w:rPr>
        <w:t xml:space="preserve"> the best care p</w:t>
      </w:r>
      <w:r w:rsidRPr="003E7AEB">
        <w:rPr>
          <w:sz w:val="24"/>
        </w:rPr>
        <w:t xml:space="preserve">ossible </w:t>
      </w:r>
      <w:r w:rsidR="00EC73F1" w:rsidRPr="003E7AEB">
        <w:rPr>
          <w:sz w:val="24"/>
        </w:rPr>
        <w:t xml:space="preserve">and </w:t>
      </w:r>
      <w:r w:rsidRPr="003E7AEB">
        <w:rPr>
          <w:sz w:val="24"/>
        </w:rPr>
        <w:t xml:space="preserve">we are dedicated </w:t>
      </w:r>
      <w:r w:rsidR="00EC73F1" w:rsidRPr="003E7AEB">
        <w:rPr>
          <w:sz w:val="24"/>
        </w:rPr>
        <w:t xml:space="preserve">to increasing access to high-quality clinical care in the communities we serve. </w:t>
      </w:r>
      <w:r>
        <w:rPr>
          <w:sz w:val="24"/>
        </w:rPr>
        <w:t xml:space="preserve">Receiving a hospital bill we understand is stressful this is why we have created a </w:t>
      </w:r>
      <w:r w:rsidR="00EC73F1">
        <w:rPr>
          <w:sz w:val="24"/>
        </w:rPr>
        <w:t>financial</w:t>
      </w:r>
      <w:r w:rsidR="00EC73F1" w:rsidRPr="003E7AEB">
        <w:rPr>
          <w:sz w:val="24"/>
        </w:rPr>
        <w:t xml:space="preserve"> </w:t>
      </w:r>
      <w:r w:rsidR="00EC73F1">
        <w:rPr>
          <w:sz w:val="24"/>
        </w:rPr>
        <w:t>assistance</w:t>
      </w:r>
      <w:r w:rsidR="00EC73F1" w:rsidRPr="003E7AEB">
        <w:rPr>
          <w:sz w:val="24"/>
        </w:rPr>
        <w:t xml:space="preserve"> </w:t>
      </w:r>
      <w:r w:rsidR="00EC73F1">
        <w:rPr>
          <w:sz w:val="24"/>
        </w:rPr>
        <w:t>policy</w:t>
      </w:r>
      <w:r w:rsidR="00EC73F1" w:rsidRPr="003E7AEB">
        <w:rPr>
          <w:sz w:val="24"/>
        </w:rPr>
        <w:t xml:space="preserve"> </w:t>
      </w:r>
      <w:r w:rsidR="00EC73F1">
        <w:rPr>
          <w:sz w:val="24"/>
        </w:rPr>
        <w:t>at</w:t>
      </w:r>
      <w:r w:rsidR="00EC73F1" w:rsidRPr="003E7AEB">
        <w:rPr>
          <w:sz w:val="24"/>
        </w:rPr>
        <w:t xml:space="preserve"> </w:t>
      </w:r>
      <w:r w:rsidR="00EC73F1">
        <w:rPr>
          <w:sz w:val="24"/>
        </w:rPr>
        <w:t>our</w:t>
      </w:r>
      <w:r w:rsidR="00EC73F1" w:rsidRPr="003E7AEB">
        <w:rPr>
          <w:sz w:val="24"/>
        </w:rPr>
        <w:t xml:space="preserve"> </w:t>
      </w:r>
      <w:r w:rsidR="00EC73F1">
        <w:rPr>
          <w:sz w:val="24"/>
        </w:rPr>
        <w:t>hospitals</w:t>
      </w:r>
      <w:r w:rsidR="00EC73F1" w:rsidRPr="003E7AEB">
        <w:rPr>
          <w:sz w:val="24"/>
        </w:rPr>
        <w:t xml:space="preserve"> </w:t>
      </w:r>
      <w:r w:rsidR="00EC73F1">
        <w:rPr>
          <w:sz w:val="24"/>
        </w:rPr>
        <w:t>and</w:t>
      </w:r>
      <w:r w:rsidR="00EC73F1" w:rsidRPr="003E7AEB">
        <w:rPr>
          <w:sz w:val="24"/>
        </w:rPr>
        <w:t xml:space="preserve"> </w:t>
      </w:r>
      <w:r w:rsidR="00EC73F1">
        <w:rPr>
          <w:sz w:val="24"/>
        </w:rPr>
        <w:t>clinics</w:t>
      </w:r>
      <w:r>
        <w:rPr>
          <w:sz w:val="24"/>
        </w:rPr>
        <w:t xml:space="preserve"> that will alleviate some of this burden.</w:t>
      </w:r>
      <w:r w:rsidR="00EC73F1" w:rsidRPr="003E7AEB">
        <w:rPr>
          <w:sz w:val="24"/>
        </w:rPr>
        <w:t xml:space="preserve"> </w:t>
      </w:r>
      <w:r w:rsidR="00EC73F1">
        <w:rPr>
          <w:sz w:val="24"/>
        </w:rPr>
        <w:t>You</w:t>
      </w:r>
      <w:r w:rsidR="00EC73F1" w:rsidRPr="003E7AEB">
        <w:rPr>
          <w:sz w:val="24"/>
        </w:rPr>
        <w:t xml:space="preserve"> </w:t>
      </w:r>
      <w:r w:rsidR="00EC73F1">
        <w:rPr>
          <w:sz w:val="24"/>
        </w:rPr>
        <w:t>may</w:t>
      </w:r>
      <w:r w:rsidR="00EC73F1" w:rsidRPr="003E7AEB">
        <w:rPr>
          <w:sz w:val="24"/>
        </w:rPr>
        <w:t xml:space="preserve"> </w:t>
      </w:r>
      <w:r w:rsidR="00EC73F1">
        <w:rPr>
          <w:sz w:val="24"/>
        </w:rPr>
        <w:t>qualify</w:t>
      </w:r>
      <w:r w:rsidR="00EC73F1" w:rsidRPr="003E7AEB">
        <w:rPr>
          <w:sz w:val="24"/>
        </w:rPr>
        <w:t xml:space="preserve"> </w:t>
      </w:r>
      <w:r w:rsidR="00EC73F1">
        <w:rPr>
          <w:sz w:val="24"/>
        </w:rPr>
        <w:t>for</w:t>
      </w:r>
      <w:r w:rsidR="00EC73F1" w:rsidRPr="003E7AEB">
        <w:rPr>
          <w:sz w:val="24"/>
        </w:rPr>
        <w:t xml:space="preserve"> </w:t>
      </w:r>
      <w:r w:rsidR="00EC73F1">
        <w:rPr>
          <w:sz w:val="24"/>
        </w:rPr>
        <w:t>help</w:t>
      </w:r>
      <w:r w:rsidR="00EC73F1" w:rsidRPr="003E7AEB">
        <w:rPr>
          <w:sz w:val="24"/>
        </w:rPr>
        <w:t xml:space="preserve"> </w:t>
      </w:r>
      <w:r w:rsidR="00EC73F1">
        <w:rPr>
          <w:sz w:val="24"/>
        </w:rPr>
        <w:t>if</w:t>
      </w:r>
      <w:r w:rsidR="00EC73F1" w:rsidRPr="003E7AEB">
        <w:rPr>
          <w:sz w:val="24"/>
        </w:rPr>
        <w:t xml:space="preserve"> </w:t>
      </w:r>
      <w:r w:rsidR="00EC73F1">
        <w:rPr>
          <w:sz w:val="24"/>
        </w:rPr>
        <w:t xml:space="preserve">you are </w:t>
      </w:r>
      <w:r>
        <w:rPr>
          <w:sz w:val="24"/>
        </w:rPr>
        <w:t>u</w:t>
      </w:r>
      <w:r w:rsidR="00EC73F1">
        <w:rPr>
          <w:sz w:val="24"/>
        </w:rPr>
        <w:t>nable to pay all or part of your bills for emergency or other medically necessary care.</w:t>
      </w:r>
    </w:p>
    <w:p w:rsidR="005135FE" w:rsidRDefault="00A50924">
      <w:pPr>
        <w:pStyle w:val="Heading1"/>
        <w:spacing w:before="219"/>
        <w:ind w:left="75"/>
        <w:jc w:val="center"/>
      </w:pPr>
      <w:r>
        <w:t>The Brooklyn Hospital Center Financial Assistance Policy Summary</w:t>
      </w:r>
    </w:p>
    <w:p w:rsidR="005135FE" w:rsidRDefault="00EC73F1">
      <w:pPr>
        <w:pStyle w:val="BodyText"/>
        <w:spacing w:before="218"/>
        <w:ind w:left="218" w:right="303"/>
        <w:rPr>
          <w:spacing w:val="-8"/>
        </w:rPr>
      </w:pPr>
      <w:r>
        <w:t>For</w:t>
      </w:r>
      <w:r>
        <w:rPr>
          <w:spacing w:val="-9"/>
        </w:rPr>
        <w:t xml:space="preserve"> </w:t>
      </w:r>
      <w:r>
        <w:t>more</w:t>
      </w:r>
      <w:r>
        <w:rPr>
          <w:spacing w:val="-7"/>
        </w:rPr>
        <w:t xml:space="preserve"> </w:t>
      </w:r>
      <w:r w:rsidR="00592D66">
        <w:t xml:space="preserve">details the full policy is available at </w:t>
      </w:r>
      <w:r w:rsidR="00103711" w:rsidRPr="00103711">
        <w:rPr>
          <w:highlight w:val="yellow"/>
        </w:rPr>
        <w:t>WWW.XXXXXXXXXXXXXXX</w:t>
      </w:r>
    </w:p>
    <w:p w:rsidR="005135FE" w:rsidRDefault="00EC73F1">
      <w:pPr>
        <w:pStyle w:val="Heading1"/>
        <w:spacing w:before="216"/>
      </w:pPr>
      <w:r>
        <w:t>Eligible</w:t>
      </w:r>
      <w:r>
        <w:rPr>
          <w:spacing w:val="-3"/>
        </w:rPr>
        <w:t xml:space="preserve"> </w:t>
      </w:r>
      <w:r>
        <w:rPr>
          <w:spacing w:val="-2"/>
        </w:rPr>
        <w:t>services</w:t>
      </w:r>
    </w:p>
    <w:p w:rsidR="005135FE" w:rsidRDefault="00EC73F1">
      <w:pPr>
        <w:pStyle w:val="BodyText"/>
        <w:spacing w:before="219"/>
        <w:ind w:left="218"/>
      </w:pP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assistance for</w:t>
      </w:r>
      <w:r>
        <w:rPr>
          <w:spacing w:val="-2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care and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 xml:space="preserve">medically </w:t>
      </w:r>
      <w:r>
        <w:rPr>
          <w:spacing w:val="-2"/>
        </w:rPr>
        <w:t>necessary</w:t>
      </w:r>
    </w:p>
    <w:p w:rsidR="005135FE" w:rsidRDefault="00EC73F1">
      <w:pPr>
        <w:pStyle w:val="BodyText"/>
        <w:ind w:left="218" w:right="160"/>
      </w:pPr>
      <w:r>
        <w:t xml:space="preserve">services provided and billed by </w:t>
      </w:r>
      <w:r w:rsidR="00592D66">
        <w:t xml:space="preserve">TBHC. Physician services rendered by providers employed by the hospital are also covered by this policy. </w:t>
      </w:r>
      <w:r>
        <w:t>A</w:t>
      </w:r>
      <w:r>
        <w:rPr>
          <w:spacing w:val="-6"/>
        </w:rPr>
        <w:t xml:space="preserve"> </w:t>
      </w:r>
      <w:r>
        <w:t>sliding</w:t>
      </w:r>
      <w:r>
        <w:rPr>
          <w:spacing w:val="-5"/>
        </w:rPr>
        <w:t xml:space="preserve"> </w:t>
      </w:r>
      <w:r w:rsidR="00592D66">
        <w:rPr>
          <w:spacing w:val="-5"/>
        </w:rPr>
        <w:t xml:space="preserve">scale </w:t>
      </w:r>
      <w:r>
        <w:t>fee</w:t>
      </w:r>
      <w:r>
        <w:rPr>
          <w:spacing w:val="-6"/>
        </w:rPr>
        <w:t xml:space="preserve"> </w:t>
      </w:r>
      <w:r>
        <w:t>discount</w:t>
      </w:r>
      <w:r>
        <w:rPr>
          <w:spacing w:val="-6"/>
        </w:rPr>
        <w:t xml:space="preserve"> </w:t>
      </w:r>
      <w:r>
        <w:t>is</w:t>
      </w:r>
      <w:r w:rsidR="00592D66">
        <w:rPr>
          <w:spacing w:val="-6"/>
        </w:rPr>
        <w:t xml:space="preserve"> </w:t>
      </w:r>
      <w:r>
        <w:t>available for medically necessary services prov</w:t>
      </w:r>
      <w:r w:rsidR="008A1679">
        <w:t xml:space="preserve">ided to uninsured patients in our </w:t>
      </w:r>
      <w:r w:rsidR="00592D66">
        <w:t>hospital based clinics.</w:t>
      </w:r>
    </w:p>
    <w:p w:rsidR="005135FE" w:rsidRDefault="00EC73F1">
      <w:pPr>
        <w:pStyle w:val="BodyText"/>
        <w:spacing w:before="219"/>
        <w:ind w:left="218" w:right="160"/>
      </w:pPr>
      <w:r>
        <w:t>You may be eligible if you have no health insurance</w:t>
      </w:r>
      <w:r w:rsidR="008A1679">
        <w:t xml:space="preserve"> (uninsured) or if you </w:t>
      </w:r>
      <w:r>
        <w:t>have health insurance</w:t>
      </w:r>
      <w:r w:rsidR="008A1679">
        <w:t xml:space="preserve"> with high out-of-pocket costs </w:t>
      </w:r>
      <w:r>
        <w:t>that you are not able to pay</w:t>
      </w:r>
      <w:r w:rsidR="008A1679">
        <w:t xml:space="preserve"> (underinsured)</w:t>
      </w:r>
      <w:r>
        <w:t xml:space="preserve">. </w:t>
      </w:r>
    </w:p>
    <w:p w:rsidR="005135FE" w:rsidRDefault="00EC73F1">
      <w:pPr>
        <w:pStyle w:val="Heading1"/>
        <w:spacing w:before="219"/>
      </w:pPr>
      <w:r>
        <w:t>How</w:t>
      </w:r>
      <w:r>
        <w:rPr>
          <w:spacing w:val="-3"/>
        </w:rPr>
        <w:t xml:space="preserve"> </w:t>
      </w:r>
      <w:r>
        <w:t>to apply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 w:rsidR="008A1679">
        <w:t>F</w:t>
      </w:r>
      <w:r>
        <w:t>inancial</w:t>
      </w:r>
      <w:r>
        <w:rPr>
          <w:spacing w:val="1"/>
        </w:rPr>
        <w:t xml:space="preserve"> </w:t>
      </w:r>
      <w:r w:rsidR="008A1679">
        <w:rPr>
          <w:spacing w:val="-2"/>
        </w:rPr>
        <w:t>A</w:t>
      </w:r>
      <w:r>
        <w:rPr>
          <w:spacing w:val="-2"/>
        </w:rPr>
        <w:t>ssistance</w:t>
      </w:r>
    </w:p>
    <w:p w:rsidR="005135FE" w:rsidRDefault="00EC73F1">
      <w:pPr>
        <w:pStyle w:val="BodyText"/>
        <w:spacing w:before="218"/>
        <w:ind w:left="218" w:right="137"/>
        <w:jc w:val="both"/>
      </w:pPr>
      <w:r>
        <w:t>Submit a complete financial assistance application with all</w:t>
      </w:r>
      <w:r w:rsidR="008A1679">
        <w:t xml:space="preserve"> required documentation </w:t>
      </w:r>
      <w:r>
        <w:t xml:space="preserve">via mail, or by working with one of </w:t>
      </w:r>
      <w:r w:rsidR="008A1679">
        <w:t>our F</w:t>
      </w:r>
      <w:r>
        <w:t xml:space="preserve">inancial </w:t>
      </w:r>
      <w:r w:rsidR="008A1679">
        <w:t xml:space="preserve">Counselors in person or via phone. </w:t>
      </w:r>
      <w:r>
        <w:t>You can get an application in any of the following ways:</w:t>
      </w:r>
    </w:p>
    <w:p w:rsidR="005135FE" w:rsidRDefault="008A1679" w:rsidP="008A1679">
      <w:pPr>
        <w:pStyle w:val="ListParagraph"/>
        <w:numPr>
          <w:ilvl w:val="0"/>
          <w:numId w:val="1"/>
        </w:numPr>
        <w:tabs>
          <w:tab w:val="left" w:pos="936"/>
        </w:tabs>
        <w:ind w:right="411"/>
        <w:rPr>
          <w:sz w:val="24"/>
        </w:rPr>
      </w:pPr>
      <w:r>
        <w:rPr>
          <w:sz w:val="24"/>
        </w:rPr>
        <w:t>O</w:t>
      </w:r>
      <w:r w:rsidR="00EC73F1">
        <w:rPr>
          <w:sz w:val="24"/>
        </w:rPr>
        <w:t>nline</w:t>
      </w:r>
      <w:r w:rsidR="00EC73F1">
        <w:rPr>
          <w:spacing w:val="-15"/>
          <w:sz w:val="24"/>
        </w:rPr>
        <w:t xml:space="preserve"> </w:t>
      </w:r>
      <w:r>
        <w:rPr>
          <w:sz w:val="24"/>
        </w:rPr>
        <w:t>via the hospital’s website at:</w:t>
      </w:r>
      <w:r>
        <w:t xml:space="preserve"> </w:t>
      </w:r>
      <w:r w:rsidRPr="008A1679">
        <w:rPr>
          <w:sz w:val="24"/>
        </w:rPr>
        <w:t>https://www.tbh.org/visitor-information/billing/financial-assistance</w:t>
      </w:r>
    </w:p>
    <w:p w:rsidR="005135FE" w:rsidRDefault="008A1679">
      <w:pPr>
        <w:pStyle w:val="ListParagraph"/>
        <w:numPr>
          <w:ilvl w:val="0"/>
          <w:numId w:val="1"/>
        </w:numPr>
        <w:tabs>
          <w:tab w:val="left" w:pos="936"/>
        </w:tabs>
        <w:ind w:right="250"/>
        <w:rPr>
          <w:sz w:val="24"/>
        </w:rPr>
      </w:pPr>
      <w:r>
        <w:rPr>
          <w:sz w:val="24"/>
        </w:rPr>
        <w:t>A</w:t>
      </w:r>
      <w:r w:rsidR="00EC73F1">
        <w:rPr>
          <w:sz w:val="24"/>
        </w:rPr>
        <w:t>t</w:t>
      </w:r>
      <w:r w:rsidR="00EC73F1">
        <w:rPr>
          <w:spacing w:val="-5"/>
          <w:sz w:val="24"/>
        </w:rPr>
        <w:t xml:space="preserve"> </w:t>
      </w:r>
      <w:r>
        <w:rPr>
          <w:spacing w:val="-5"/>
          <w:sz w:val="24"/>
        </w:rPr>
        <w:t xml:space="preserve">any of the main hospital’s </w:t>
      </w:r>
      <w:r w:rsidR="00EC73F1">
        <w:rPr>
          <w:sz w:val="24"/>
        </w:rPr>
        <w:t>registration</w:t>
      </w:r>
      <w:r>
        <w:rPr>
          <w:spacing w:val="-5"/>
          <w:sz w:val="24"/>
        </w:rPr>
        <w:t xml:space="preserve"> desks and any of the hospital clinics</w:t>
      </w:r>
    </w:p>
    <w:p w:rsidR="005135FE" w:rsidRPr="00EC73F1" w:rsidRDefault="008A1679">
      <w:pPr>
        <w:pStyle w:val="ListParagraph"/>
        <w:numPr>
          <w:ilvl w:val="0"/>
          <w:numId w:val="1"/>
        </w:numPr>
        <w:tabs>
          <w:tab w:val="left" w:pos="936"/>
        </w:tabs>
        <w:spacing w:line="291" w:lineRule="exact"/>
        <w:rPr>
          <w:sz w:val="24"/>
        </w:rPr>
      </w:pPr>
      <w:r>
        <w:rPr>
          <w:sz w:val="24"/>
        </w:rPr>
        <w:t>B</w:t>
      </w:r>
      <w:r w:rsidR="00EC73F1">
        <w:rPr>
          <w:sz w:val="24"/>
        </w:rPr>
        <w:t>y</w:t>
      </w:r>
      <w:r w:rsidR="00EC73F1">
        <w:rPr>
          <w:spacing w:val="-9"/>
          <w:sz w:val="24"/>
        </w:rPr>
        <w:t xml:space="preserve"> </w:t>
      </w:r>
      <w:r w:rsidR="00EC73F1">
        <w:rPr>
          <w:sz w:val="24"/>
        </w:rPr>
        <w:t>contacting</w:t>
      </w:r>
      <w:r w:rsidR="00EC73F1">
        <w:rPr>
          <w:spacing w:val="-1"/>
          <w:sz w:val="24"/>
        </w:rPr>
        <w:t xml:space="preserve"> </w:t>
      </w:r>
      <w:r>
        <w:rPr>
          <w:spacing w:val="-1"/>
          <w:sz w:val="24"/>
        </w:rPr>
        <w:t>the Financial Counselors</w:t>
      </w:r>
      <w:r w:rsidR="002534AA">
        <w:rPr>
          <w:spacing w:val="-1"/>
          <w:sz w:val="24"/>
        </w:rPr>
        <w:t xml:space="preserve"> Unit</w:t>
      </w:r>
      <w:r>
        <w:rPr>
          <w:spacing w:val="-1"/>
          <w:sz w:val="24"/>
        </w:rPr>
        <w:t xml:space="preserve"> at 718-250-8080</w:t>
      </w:r>
    </w:p>
    <w:p w:rsidR="00EC73F1" w:rsidRPr="00EC73F1" w:rsidRDefault="00EC73F1">
      <w:pPr>
        <w:pStyle w:val="ListParagraph"/>
        <w:numPr>
          <w:ilvl w:val="0"/>
          <w:numId w:val="1"/>
        </w:numPr>
        <w:tabs>
          <w:tab w:val="left" w:pos="936"/>
        </w:tabs>
        <w:spacing w:line="291" w:lineRule="exact"/>
        <w:rPr>
          <w:sz w:val="24"/>
        </w:rPr>
      </w:pPr>
      <w:r>
        <w:rPr>
          <w:spacing w:val="-1"/>
          <w:sz w:val="24"/>
        </w:rPr>
        <w:t xml:space="preserve">Mailing address: </w:t>
      </w:r>
    </w:p>
    <w:p w:rsidR="00EC73F1" w:rsidRPr="00EC73F1" w:rsidRDefault="00EC73F1" w:rsidP="00EC73F1">
      <w:pPr>
        <w:tabs>
          <w:tab w:val="left" w:pos="420"/>
        </w:tabs>
        <w:spacing w:before="111" w:line="249" w:lineRule="auto"/>
        <w:ind w:right="403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ab/>
      </w:r>
      <w:r>
        <w:rPr>
          <w:color w:val="231F20"/>
          <w:sz w:val="18"/>
          <w:szCs w:val="18"/>
        </w:rPr>
        <w:tab/>
      </w:r>
      <w:r>
        <w:rPr>
          <w:color w:val="231F20"/>
          <w:sz w:val="18"/>
          <w:szCs w:val="18"/>
        </w:rPr>
        <w:tab/>
      </w:r>
      <w:r>
        <w:rPr>
          <w:color w:val="231F20"/>
          <w:sz w:val="18"/>
          <w:szCs w:val="18"/>
        </w:rPr>
        <w:tab/>
      </w:r>
      <w:r>
        <w:rPr>
          <w:color w:val="231F20"/>
          <w:sz w:val="18"/>
          <w:szCs w:val="18"/>
        </w:rPr>
        <w:tab/>
      </w:r>
      <w:r w:rsidRPr="00EC73F1">
        <w:rPr>
          <w:color w:val="231F20"/>
          <w:sz w:val="18"/>
          <w:szCs w:val="18"/>
        </w:rPr>
        <w:t xml:space="preserve">The Brooklyn Hospital Center </w:t>
      </w:r>
    </w:p>
    <w:p w:rsidR="00EC73F1" w:rsidRPr="00D508C9" w:rsidRDefault="00EC73F1" w:rsidP="00EC73F1">
      <w:pPr>
        <w:pStyle w:val="ListParagraph"/>
        <w:tabs>
          <w:tab w:val="left" w:pos="420"/>
        </w:tabs>
        <w:spacing w:before="111" w:line="120" w:lineRule="auto"/>
        <w:ind w:left="418" w:right="403" w:firstLine="0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ab/>
      </w:r>
      <w:r>
        <w:rPr>
          <w:color w:val="231F20"/>
          <w:sz w:val="18"/>
          <w:szCs w:val="18"/>
        </w:rPr>
        <w:tab/>
      </w:r>
      <w:r>
        <w:rPr>
          <w:color w:val="231F20"/>
          <w:sz w:val="18"/>
          <w:szCs w:val="18"/>
        </w:rPr>
        <w:tab/>
      </w:r>
      <w:r>
        <w:rPr>
          <w:color w:val="231F20"/>
          <w:sz w:val="18"/>
          <w:szCs w:val="18"/>
        </w:rPr>
        <w:tab/>
      </w:r>
      <w:r>
        <w:rPr>
          <w:color w:val="231F20"/>
          <w:sz w:val="18"/>
          <w:szCs w:val="18"/>
        </w:rPr>
        <w:tab/>
      </w:r>
      <w:r w:rsidRPr="00D508C9">
        <w:rPr>
          <w:color w:val="231F20"/>
          <w:sz w:val="18"/>
          <w:szCs w:val="18"/>
        </w:rPr>
        <w:t>Attn: Financial Counselors Unit</w:t>
      </w:r>
      <w:r w:rsidR="00E17013">
        <w:rPr>
          <w:color w:val="231F20"/>
          <w:sz w:val="18"/>
          <w:szCs w:val="18"/>
        </w:rPr>
        <w:t xml:space="preserve"> 2</w:t>
      </w:r>
      <w:r w:rsidR="00E17013" w:rsidRPr="00E17013">
        <w:rPr>
          <w:color w:val="231F20"/>
          <w:sz w:val="18"/>
          <w:szCs w:val="18"/>
          <w:vertAlign w:val="superscript"/>
        </w:rPr>
        <w:t>nd</w:t>
      </w:r>
      <w:r w:rsidR="00E17013">
        <w:rPr>
          <w:color w:val="231F20"/>
          <w:sz w:val="18"/>
          <w:szCs w:val="18"/>
        </w:rPr>
        <w:t xml:space="preserve"> Floor</w:t>
      </w:r>
    </w:p>
    <w:p w:rsidR="00EC73F1" w:rsidRDefault="00EC73F1" w:rsidP="00EC73F1">
      <w:pPr>
        <w:pStyle w:val="ListParagraph"/>
        <w:tabs>
          <w:tab w:val="left" w:pos="420"/>
        </w:tabs>
        <w:spacing w:before="111" w:line="120" w:lineRule="auto"/>
        <w:ind w:left="418" w:right="403" w:firstLine="0"/>
        <w:rPr>
          <w:sz w:val="24"/>
        </w:rPr>
      </w:pPr>
      <w:r w:rsidRPr="00D508C9">
        <w:rPr>
          <w:color w:val="231F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ab/>
      </w:r>
      <w:r>
        <w:rPr>
          <w:color w:val="231F20"/>
          <w:sz w:val="18"/>
          <w:szCs w:val="18"/>
        </w:rPr>
        <w:tab/>
      </w:r>
      <w:r>
        <w:rPr>
          <w:color w:val="231F20"/>
          <w:sz w:val="18"/>
          <w:szCs w:val="18"/>
        </w:rPr>
        <w:tab/>
      </w:r>
      <w:r>
        <w:rPr>
          <w:color w:val="231F20"/>
          <w:sz w:val="18"/>
          <w:szCs w:val="18"/>
        </w:rPr>
        <w:tab/>
      </w:r>
      <w:r w:rsidRPr="00D508C9">
        <w:rPr>
          <w:color w:val="231F20"/>
          <w:sz w:val="18"/>
          <w:szCs w:val="18"/>
        </w:rPr>
        <w:t>121 DeKalb Avenue Brooklyn NY 11201</w:t>
      </w:r>
    </w:p>
    <w:p w:rsidR="005135FE" w:rsidRDefault="00EC73F1">
      <w:pPr>
        <w:pStyle w:val="BodyText"/>
        <w:spacing w:before="274"/>
        <w:ind w:left="215" w:right="593"/>
        <w:jc w:val="both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 w:rsidRPr="003E7AEB">
        <w:t>a</w:t>
      </w:r>
      <w:r w:rsidRPr="003E7AEB">
        <w:rPr>
          <w:spacing w:val="-3"/>
        </w:rPr>
        <w:t xml:space="preserve"> </w:t>
      </w:r>
      <w:r w:rsidRPr="003E7AEB">
        <w:t>hospital</w:t>
      </w:r>
      <w:r w:rsidRPr="003E7AEB">
        <w:rPr>
          <w:spacing w:val="-2"/>
        </w:rPr>
        <w:t xml:space="preserve"> </w:t>
      </w:r>
      <w:r w:rsidRPr="003E7AEB">
        <w:t>patient,</w:t>
      </w:r>
      <w:r w:rsidRPr="003E7AEB">
        <w:rPr>
          <w:spacing w:val="-3"/>
        </w:rPr>
        <w:t xml:space="preserve"> </w:t>
      </w:r>
      <w:r w:rsidRPr="003E7AEB">
        <w:t>we</w:t>
      </w:r>
      <w:r w:rsidRPr="003E7AEB">
        <w:rPr>
          <w:spacing w:val="-3"/>
        </w:rPr>
        <w:t xml:space="preserve"> </w:t>
      </w:r>
      <w:r w:rsidRPr="003E7AEB">
        <w:t>encourage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 apply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 as</w:t>
      </w:r>
      <w:r>
        <w:rPr>
          <w:spacing w:val="-2"/>
        </w:rPr>
        <w:t xml:space="preserve"> </w:t>
      </w:r>
      <w:r>
        <w:t>possible and within 90 days</w:t>
      </w:r>
      <w:r>
        <w:rPr>
          <w:spacing w:val="-1"/>
        </w:rPr>
        <w:t xml:space="preserve"> </w:t>
      </w:r>
      <w:r>
        <w:t xml:space="preserve">from </w:t>
      </w:r>
      <w:r w:rsidR="002534AA">
        <w:t xml:space="preserve">your service </w:t>
      </w:r>
      <w:r w:rsidR="002534AA">
        <w:rPr>
          <w:spacing w:val="-2"/>
        </w:rPr>
        <w:t>d</w:t>
      </w:r>
      <w:r w:rsidR="002534AA">
        <w:t>ate. N</w:t>
      </w:r>
      <w:r>
        <w:t>ote, however, that you can submit a financial-assistance application at any time after you are treated at the hospital.</w:t>
      </w:r>
    </w:p>
    <w:p w:rsidR="005135FE" w:rsidRDefault="005135FE">
      <w:pPr>
        <w:pStyle w:val="BodyText"/>
      </w:pPr>
    </w:p>
    <w:p w:rsidR="005135FE" w:rsidRDefault="002534AA" w:rsidP="00EC73F1">
      <w:pPr>
        <w:pStyle w:val="BodyText"/>
        <w:ind w:left="215" w:right="477"/>
        <w:jc w:val="both"/>
      </w:pPr>
      <w:r>
        <w:t>H</w:t>
      </w:r>
      <w:r w:rsidR="00EC73F1">
        <w:t>ospital</w:t>
      </w:r>
      <w:r w:rsidR="00EC73F1">
        <w:rPr>
          <w:spacing w:val="-4"/>
        </w:rPr>
        <w:t xml:space="preserve"> </w:t>
      </w:r>
      <w:r>
        <w:t xml:space="preserve">clinic patients are </w:t>
      </w:r>
      <w:r w:rsidR="00EC73F1">
        <w:t>encourage</w:t>
      </w:r>
      <w:r>
        <w:t xml:space="preserve">d to </w:t>
      </w:r>
      <w:r w:rsidR="00EC73F1">
        <w:t>submit</w:t>
      </w:r>
      <w:r w:rsidR="00EC73F1">
        <w:rPr>
          <w:spacing w:val="-4"/>
        </w:rPr>
        <w:t xml:space="preserve"> </w:t>
      </w:r>
      <w:r w:rsidR="00EC73F1">
        <w:t>your</w:t>
      </w:r>
      <w:r w:rsidR="00EC73F1">
        <w:rPr>
          <w:spacing w:val="-6"/>
        </w:rPr>
        <w:t xml:space="preserve"> </w:t>
      </w:r>
      <w:r w:rsidR="00EC73F1">
        <w:t>application</w:t>
      </w:r>
      <w:r w:rsidR="00EC73F1">
        <w:rPr>
          <w:spacing w:val="-4"/>
        </w:rPr>
        <w:t xml:space="preserve"> </w:t>
      </w:r>
      <w:r w:rsidR="00EC73F1">
        <w:t>before</w:t>
      </w:r>
      <w:r w:rsidR="00EC73F1">
        <w:rPr>
          <w:spacing w:val="-6"/>
        </w:rPr>
        <w:t xml:space="preserve"> </w:t>
      </w:r>
      <w:r w:rsidR="00EC73F1">
        <w:t>your</w:t>
      </w:r>
      <w:r w:rsidR="00EC73F1">
        <w:rPr>
          <w:spacing w:val="-1"/>
        </w:rPr>
        <w:t xml:space="preserve"> </w:t>
      </w:r>
      <w:r w:rsidR="00EC73F1">
        <w:t>first appointment, or to bring the materials necess</w:t>
      </w:r>
      <w:r>
        <w:t xml:space="preserve">ary to submit an application on </w:t>
      </w:r>
      <w:r w:rsidR="00EC73F1">
        <w:t>your first appointment.</w:t>
      </w:r>
    </w:p>
    <w:p w:rsidR="00EC73F1" w:rsidRDefault="00EC73F1" w:rsidP="00EC73F1">
      <w:pPr>
        <w:pStyle w:val="BodyText"/>
        <w:ind w:left="215" w:right="477"/>
        <w:jc w:val="both"/>
      </w:pPr>
    </w:p>
    <w:p w:rsidR="002534AA" w:rsidRDefault="002534AA" w:rsidP="00EC73F1">
      <w:pPr>
        <w:pStyle w:val="BodyText"/>
        <w:spacing w:before="66"/>
        <w:ind w:left="215" w:right="160"/>
      </w:pPr>
      <w:r>
        <w:t>If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incomplete</w:t>
      </w:r>
      <w:r>
        <w:rPr>
          <w:spacing w:val="-6"/>
        </w:rPr>
        <w:t xml:space="preserve"> </w:t>
      </w:r>
      <w:r>
        <w:t>application is received we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any missing information or documentation.</w:t>
      </w:r>
    </w:p>
    <w:p w:rsidR="00EC73F1" w:rsidRDefault="00EC73F1" w:rsidP="00EC73F1">
      <w:pPr>
        <w:pStyle w:val="BodyText"/>
        <w:spacing w:before="66"/>
        <w:ind w:left="215" w:right="160"/>
        <w:sectPr w:rsidR="00EC73F1">
          <w:type w:val="continuous"/>
          <w:pgSz w:w="12240" w:h="15840"/>
          <w:pgMar w:top="980" w:right="700" w:bottom="280" w:left="720" w:header="720" w:footer="720" w:gutter="0"/>
          <w:cols w:space="720"/>
        </w:sectPr>
      </w:pPr>
    </w:p>
    <w:p w:rsidR="005135FE" w:rsidRDefault="005135FE">
      <w:pPr>
        <w:pStyle w:val="BodyText"/>
      </w:pPr>
    </w:p>
    <w:p w:rsidR="003E7AEB" w:rsidRDefault="003E7AEB">
      <w:pPr>
        <w:pStyle w:val="Heading1"/>
        <w:spacing w:before="1"/>
        <w:ind w:left="215"/>
      </w:pPr>
    </w:p>
    <w:p w:rsidR="003E7AEB" w:rsidRDefault="003E7AEB">
      <w:pPr>
        <w:pStyle w:val="Heading1"/>
        <w:spacing w:before="1"/>
        <w:ind w:left="215"/>
      </w:pPr>
    </w:p>
    <w:p w:rsidR="003E7AEB" w:rsidRDefault="003E7AEB">
      <w:pPr>
        <w:pStyle w:val="Heading1"/>
        <w:spacing w:before="1"/>
        <w:ind w:left="215"/>
      </w:pPr>
    </w:p>
    <w:p w:rsidR="003E7AEB" w:rsidRDefault="003E7AEB">
      <w:pPr>
        <w:pStyle w:val="Heading1"/>
        <w:spacing w:before="1"/>
        <w:ind w:left="215"/>
      </w:pPr>
    </w:p>
    <w:p w:rsidR="005135FE" w:rsidRDefault="00EC73F1">
      <w:pPr>
        <w:pStyle w:val="Heading1"/>
        <w:spacing w:before="1"/>
        <w:ind w:left="215"/>
      </w:pPr>
      <w:r>
        <w:t>Determination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eligibility</w:t>
      </w:r>
    </w:p>
    <w:p w:rsidR="005135FE" w:rsidRDefault="002534AA">
      <w:pPr>
        <w:pStyle w:val="BodyText"/>
        <w:spacing w:before="276"/>
        <w:ind w:left="215" w:right="374"/>
        <w:jc w:val="both"/>
      </w:pPr>
      <w:r>
        <w:t>F</w:t>
      </w:r>
      <w:r w:rsidR="00EC73F1">
        <w:t>inancial assistance</w:t>
      </w:r>
      <w:r>
        <w:t xml:space="preserve"> eligibility</w:t>
      </w:r>
      <w:r w:rsidR="00EC73F1">
        <w:t xml:space="preserve"> is based on fa</w:t>
      </w:r>
      <w:r>
        <w:t xml:space="preserve">mily income and </w:t>
      </w:r>
      <w:r w:rsidR="00EC73F1">
        <w:t>on other information you provide.</w:t>
      </w:r>
      <w:r w:rsidR="00EC73F1">
        <w:rPr>
          <w:spacing w:val="40"/>
        </w:rPr>
        <w:t xml:space="preserve"> </w:t>
      </w:r>
      <w:r w:rsidR="00EC73F1">
        <w:t>If</w:t>
      </w:r>
      <w:r w:rsidR="00EC73F1">
        <w:rPr>
          <w:spacing w:val="-4"/>
        </w:rPr>
        <w:t xml:space="preserve"> </w:t>
      </w:r>
      <w:r w:rsidR="00EC73F1">
        <w:t>after</w:t>
      </w:r>
      <w:r w:rsidR="00EC73F1">
        <w:rPr>
          <w:spacing w:val="-1"/>
        </w:rPr>
        <w:t xml:space="preserve"> </w:t>
      </w:r>
      <w:r w:rsidR="00EC73F1">
        <w:t>reviewing your</w:t>
      </w:r>
      <w:r w:rsidR="00EC73F1">
        <w:rPr>
          <w:spacing w:val="-4"/>
        </w:rPr>
        <w:t xml:space="preserve"> </w:t>
      </w:r>
      <w:r>
        <w:t>application it is d</w:t>
      </w:r>
      <w:r w:rsidR="00EC73F1">
        <w:t>etermine</w:t>
      </w:r>
      <w:r>
        <w:t>d</w:t>
      </w:r>
      <w:r w:rsidR="00EC73F1">
        <w:t xml:space="preserve"> that</w:t>
      </w:r>
      <w:r w:rsidR="00EC73F1">
        <w:rPr>
          <w:spacing w:val="-1"/>
        </w:rPr>
        <w:t xml:space="preserve"> </w:t>
      </w:r>
      <w:r w:rsidR="00EC73F1">
        <w:t>your</w:t>
      </w:r>
      <w:r w:rsidR="00EC73F1">
        <w:rPr>
          <w:spacing w:val="-4"/>
        </w:rPr>
        <w:t xml:space="preserve"> </w:t>
      </w:r>
      <w:r>
        <w:rPr>
          <w:spacing w:val="-4"/>
        </w:rPr>
        <w:t xml:space="preserve">family </w:t>
      </w:r>
      <w:r w:rsidR="00EC73F1">
        <w:t>income</w:t>
      </w:r>
      <w:r w:rsidR="00EC73F1">
        <w:rPr>
          <w:spacing w:val="-4"/>
        </w:rPr>
        <w:t xml:space="preserve"> </w:t>
      </w:r>
      <w:r w:rsidR="00EC73F1">
        <w:t>is</w:t>
      </w:r>
      <w:r w:rsidR="00EC73F1">
        <w:rPr>
          <w:spacing w:val="-1"/>
        </w:rPr>
        <w:t xml:space="preserve"> </w:t>
      </w:r>
      <w:r w:rsidR="00EC73F1">
        <w:t>at</w:t>
      </w:r>
      <w:r w:rsidR="00EC73F1">
        <w:rPr>
          <w:spacing w:val="-1"/>
        </w:rPr>
        <w:t xml:space="preserve"> </w:t>
      </w:r>
      <w:r>
        <w:t>4</w:t>
      </w:r>
      <w:r w:rsidR="00EC73F1">
        <w:t>00%</w:t>
      </w:r>
      <w:r w:rsidR="00EC73F1">
        <w:rPr>
          <w:spacing w:val="-4"/>
        </w:rPr>
        <w:t xml:space="preserve"> </w:t>
      </w:r>
      <w:r w:rsidR="00EC73F1">
        <w:t>of</w:t>
      </w:r>
      <w:r w:rsidR="00EC73F1">
        <w:rPr>
          <w:spacing w:val="-2"/>
        </w:rPr>
        <w:t xml:space="preserve"> </w:t>
      </w:r>
      <w:r>
        <w:rPr>
          <w:spacing w:val="-2"/>
        </w:rPr>
        <w:t xml:space="preserve">the </w:t>
      </w:r>
      <w:r w:rsidR="00EC73F1">
        <w:t>Federal Poverty Guidelines (FPG) you will be eligible for a discount on your bill for eligible services.</w:t>
      </w:r>
    </w:p>
    <w:p w:rsidR="005135FE" w:rsidRDefault="003E7AEB" w:rsidP="003E7AEB">
      <w:pPr>
        <w:pStyle w:val="BodyText"/>
        <w:spacing w:before="276"/>
        <w:ind w:left="215" w:right="374"/>
        <w:jc w:val="both"/>
      </w:pPr>
      <w:r>
        <w:t xml:space="preserve">Below are </w:t>
      </w:r>
      <w:r w:rsidR="00F821B7">
        <w:t>2025 Federal Poverty Guidelines and Discounts</w:t>
      </w:r>
    </w:p>
    <w:p w:rsidR="00F821B7" w:rsidRDefault="00F821B7" w:rsidP="003E7AEB">
      <w:pPr>
        <w:pStyle w:val="BodyText"/>
        <w:spacing w:before="276"/>
        <w:ind w:left="215" w:right="374"/>
        <w:jc w:val="both"/>
      </w:pPr>
      <w:r>
        <w:rPr>
          <w:noProof/>
        </w:rPr>
        <w:drawing>
          <wp:inline distT="0" distB="0" distL="0" distR="0" wp14:anchorId="19BD5B3C" wp14:editId="1061CDFD">
            <wp:extent cx="6629400" cy="3575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AEB" w:rsidRDefault="003E7AEB" w:rsidP="003E7AEB">
      <w:pPr>
        <w:pStyle w:val="BodyText"/>
        <w:spacing w:before="276"/>
        <w:ind w:left="215" w:right="374"/>
        <w:jc w:val="both"/>
      </w:pPr>
      <w:r>
        <w:t xml:space="preserve">                                       </w:t>
      </w:r>
    </w:p>
    <w:p w:rsidR="003E7AEB" w:rsidRDefault="003E7AEB">
      <w:pPr>
        <w:pStyle w:val="BodyText"/>
        <w:rPr>
          <w:sz w:val="20"/>
        </w:rPr>
      </w:pPr>
    </w:p>
    <w:p w:rsidR="003E7AEB" w:rsidRDefault="00EC73F1" w:rsidP="003E7AEB">
      <w:pPr>
        <w:pStyle w:val="BodyText"/>
        <w:ind w:left="215" w:right="160"/>
      </w:pPr>
      <w:r>
        <w:t>If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200%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FPG,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qualify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hospital clinic care. If your family income is between 201% and </w:t>
      </w:r>
      <w:r w:rsidR="003E7AEB">
        <w:t>4</w:t>
      </w:r>
      <w:r>
        <w:t xml:space="preserve">00% of the FPG, you may qualify for partial financial assistance. </w:t>
      </w:r>
    </w:p>
    <w:p w:rsidR="003E7AEB" w:rsidRDefault="003E7AEB" w:rsidP="003E7AEB">
      <w:pPr>
        <w:pStyle w:val="BodyText"/>
        <w:ind w:left="215" w:right="160"/>
      </w:pPr>
    </w:p>
    <w:p w:rsidR="003E7AEB" w:rsidRDefault="00EC73F1" w:rsidP="003E7AEB">
      <w:pPr>
        <w:pStyle w:val="BodyText"/>
        <w:ind w:left="215" w:right="160"/>
        <w:rPr>
          <w:b/>
          <w:spacing w:val="-2"/>
        </w:rPr>
      </w:pPr>
      <w:r w:rsidRPr="003E7AEB">
        <w:rPr>
          <w:b/>
        </w:rPr>
        <w:t>For</w:t>
      </w:r>
      <w:r w:rsidRPr="003E7AEB">
        <w:rPr>
          <w:b/>
          <w:spacing w:val="-6"/>
        </w:rPr>
        <w:t xml:space="preserve"> </w:t>
      </w:r>
      <w:r w:rsidRPr="003E7AEB">
        <w:rPr>
          <w:b/>
        </w:rPr>
        <w:t>non-English</w:t>
      </w:r>
      <w:r w:rsidRPr="003E7AEB">
        <w:rPr>
          <w:b/>
          <w:spacing w:val="-1"/>
        </w:rPr>
        <w:t xml:space="preserve"> </w:t>
      </w:r>
      <w:r w:rsidRPr="003E7AEB">
        <w:rPr>
          <w:b/>
          <w:spacing w:val="-2"/>
        </w:rPr>
        <w:t>speakers</w:t>
      </w:r>
    </w:p>
    <w:p w:rsidR="005135FE" w:rsidRDefault="003E7AEB" w:rsidP="003E7AEB">
      <w:pPr>
        <w:pStyle w:val="BodyText"/>
        <w:tabs>
          <w:tab w:val="left" w:pos="1980"/>
        </w:tabs>
        <w:spacing w:before="79"/>
        <w:ind w:left="139"/>
      </w:pPr>
      <w:r>
        <w:t xml:space="preserve">   You can find</w:t>
      </w:r>
      <w:r w:rsidR="00EC73F1">
        <w:t xml:space="preserve"> translations of this document at: </w:t>
      </w:r>
      <w:hyperlink r:id="rId9" w:history="1">
        <w:r w:rsidR="00EC73F1" w:rsidRPr="005B6B61">
          <w:rPr>
            <w:rStyle w:val="Hyperlink"/>
            <w:highlight w:val="yellow"/>
          </w:rPr>
          <w:t>www.xxxxxxxxxxxxxxxxxxxxxxxxxxxxx</w:t>
        </w:r>
      </w:hyperlink>
    </w:p>
    <w:p w:rsidR="00EC73F1" w:rsidRDefault="00EC73F1" w:rsidP="003E7AEB">
      <w:pPr>
        <w:pStyle w:val="BodyText"/>
        <w:tabs>
          <w:tab w:val="left" w:pos="1980"/>
        </w:tabs>
        <w:spacing w:before="79"/>
        <w:ind w:left="139"/>
      </w:pPr>
    </w:p>
    <w:p w:rsidR="00EC73F1" w:rsidRPr="00EC73F1" w:rsidRDefault="00EC73F1" w:rsidP="00EC73F1">
      <w:pPr>
        <w:pStyle w:val="BodyText"/>
        <w:tabs>
          <w:tab w:val="left" w:pos="1980"/>
        </w:tabs>
        <w:spacing w:before="79"/>
        <w:rPr>
          <w:b/>
        </w:rPr>
      </w:pPr>
      <w:r>
        <w:rPr>
          <w:b/>
        </w:rPr>
        <w:tab/>
      </w:r>
    </w:p>
    <w:sectPr w:rsidR="00EC73F1" w:rsidRPr="00EC73F1">
      <w:pgSz w:w="12240" w:h="15840"/>
      <w:pgMar w:top="82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924" w:rsidRDefault="00A50924" w:rsidP="00A50924">
      <w:r>
        <w:separator/>
      </w:r>
    </w:p>
  </w:endnote>
  <w:endnote w:type="continuationSeparator" w:id="0">
    <w:p w:rsidR="00A50924" w:rsidRDefault="00A50924" w:rsidP="00A5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924" w:rsidRDefault="00A50924" w:rsidP="00A50924">
      <w:r>
        <w:separator/>
      </w:r>
    </w:p>
  </w:footnote>
  <w:footnote w:type="continuationSeparator" w:id="0">
    <w:p w:rsidR="00A50924" w:rsidRDefault="00A50924" w:rsidP="00A50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84FA5"/>
    <w:multiLevelType w:val="hybridMultilevel"/>
    <w:tmpl w:val="721C09CA"/>
    <w:lvl w:ilvl="0" w:tplc="EF7E382C">
      <w:numFmt w:val="bullet"/>
      <w:lvlText w:val=""/>
      <w:lvlJc w:val="left"/>
      <w:pPr>
        <w:ind w:left="93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76A9982">
      <w:numFmt w:val="bullet"/>
      <w:lvlText w:val="•"/>
      <w:lvlJc w:val="left"/>
      <w:pPr>
        <w:ind w:left="1928" w:hanging="361"/>
      </w:pPr>
      <w:rPr>
        <w:rFonts w:hint="default"/>
        <w:lang w:val="en-US" w:eastAsia="en-US" w:bidi="ar-SA"/>
      </w:rPr>
    </w:lvl>
    <w:lvl w:ilvl="2" w:tplc="B3F67D8A">
      <w:numFmt w:val="bullet"/>
      <w:lvlText w:val="•"/>
      <w:lvlJc w:val="left"/>
      <w:pPr>
        <w:ind w:left="2916" w:hanging="361"/>
      </w:pPr>
      <w:rPr>
        <w:rFonts w:hint="default"/>
        <w:lang w:val="en-US" w:eastAsia="en-US" w:bidi="ar-SA"/>
      </w:rPr>
    </w:lvl>
    <w:lvl w:ilvl="3" w:tplc="AC805388">
      <w:numFmt w:val="bullet"/>
      <w:lvlText w:val="•"/>
      <w:lvlJc w:val="left"/>
      <w:pPr>
        <w:ind w:left="3904" w:hanging="361"/>
      </w:pPr>
      <w:rPr>
        <w:rFonts w:hint="default"/>
        <w:lang w:val="en-US" w:eastAsia="en-US" w:bidi="ar-SA"/>
      </w:rPr>
    </w:lvl>
    <w:lvl w:ilvl="4" w:tplc="F750552E">
      <w:numFmt w:val="bullet"/>
      <w:lvlText w:val="•"/>
      <w:lvlJc w:val="left"/>
      <w:pPr>
        <w:ind w:left="4892" w:hanging="361"/>
      </w:pPr>
      <w:rPr>
        <w:rFonts w:hint="default"/>
        <w:lang w:val="en-US" w:eastAsia="en-US" w:bidi="ar-SA"/>
      </w:rPr>
    </w:lvl>
    <w:lvl w:ilvl="5" w:tplc="3BC0BD56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6" w:tplc="1F4AE37A">
      <w:numFmt w:val="bullet"/>
      <w:lvlText w:val="•"/>
      <w:lvlJc w:val="left"/>
      <w:pPr>
        <w:ind w:left="6868" w:hanging="361"/>
      </w:pPr>
      <w:rPr>
        <w:rFonts w:hint="default"/>
        <w:lang w:val="en-US" w:eastAsia="en-US" w:bidi="ar-SA"/>
      </w:rPr>
    </w:lvl>
    <w:lvl w:ilvl="7" w:tplc="5A8E7C76">
      <w:numFmt w:val="bullet"/>
      <w:lvlText w:val="•"/>
      <w:lvlJc w:val="left"/>
      <w:pPr>
        <w:ind w:left="7856" w:hanging="361"/>
      </w:pPr>
      <w:rPr>
        <w:rFonts w:hint="default"/>
        <w:lang w:val="en-US" w:eastAsia="en-US" w:bidi="ar-SA"/>
      </w:rPr>
    </w:lvl>
    <w:lvl w:ilvl="8" w:tplc="5A945976">
      <w:numFmt w:val="bullet"/>
      <w:lvlText w:val="•"/>
      <w:lvlJc w:val="left"/>
      <w:pPr>
        <w:ind w:left="884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01F7E24"/>
    <w:multiLevelType w:val="hybridMultilevel"/>
    <w:tmpl w:val="12DAAFE8"/>
    <w:lvl w:ilvl="0" w:tplc="C27CBECA">
      <w:numFmt w:val="bullet"/>
      <w:lvlText w:val="•"/>
      <w:lvlJc w:val="left"/>
      <w:pPr>
        <w:ind w:left="420" w:hanging="30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CD84FFA0">
      <w:numFmt w:val="bullet"/>
      <w:lvlText w:val="•"/>
      <w:lvlJc w:val="left"/>
      <w:pPr>
        <w:ind w:left="1446" w:hanging="301"/>
      </w:pPr>
      <w:rPr>
        <w:rFonts w:hint="default"/>
        <w:lang w:val="en-US" w:eastAsia="en-US" w:bidi="ar-SA"/>
      </w:rPr>
    </w:lvl>
    <w:lvl w:ilvl="2" w:tplc="654EC3BE">
      <w:numFmt w:val="bullet"/>
      <w:lvlText w:val="•"/>
      <w:lvlJc w:val="left"/>
      <w:pPr>
        <w:ind w:left="2472" w:hanging="301"/>
      </w:pPr>
      <w:rPr>
        <w:rFonts w:hint="default"/>
        <w:lang w:val="en-US" w:eastAsia="en-US" w:bidi="ar-SA"/>
      </w:rPr>
    </w:lvl>
    <w:lvl w:ilvl="3" w:tplc="F5D2FAA0">
      <w:numFmt w:val="bullet"/>
      <w:lvlText w:val="•"/>
      <w:lvlJc w:val="left"/>
      <w:pPr>
        <w:ind w:left="3498" w:hanging="301"/>
      </w:pPr>
      <w:rPr>
        <w:rFonts w:hint="default"/>
        <w:lang w:val="en-US" w:eastAsia="en-US" w:bidi="ar-SA"/>
      </w:rPr>
    </w:lvl>
    <w:lvl w:ilvl="4" w:tplc="4E346F78">
      <w:numFmt w:val="bullet"/>
      <w:lvlText w:val="•"/>
      <w:lvlJc w:val="left"/>
      <w:pPr>
        <w:ind w:left="4524" w:hanging="301"/>
      </w:pPr>
      <w:rPr>
        <w:rFonts w:hint="default"/>
        <w:lang w:val="en-US" w:eastAsia="en-US" w:bidi="ar-SA"/>
      </w:rPr>
    </w:lvl>
    <w:lvl w:ilvl="5" w:tplc="D206B920">
      <w:numFmt w:val="bullet"/>
      <w:lvlText w:val="•"/>
      <w:lvlJc w:val="left"/>
      <w:pPr>
        <w:ind w:left="5550" w:hanging="301"/>
      </w:pPr>
      <w:rPr>
        <w:rFonts w:hint="default"/>
        <w:lang w:val="en-US" w:eastAsia="en-US" w:bidi="ar-SA"/>
      </w:rPr>
    </w:lvl>
    <w:lvl w:ilvl="6" w:tplc="9482EC24">
      <w:numFmt w:val="bullet"/>
      <w:lvlText w:val="•"/>
      <w:lvlJc w:val="left"/>
      <w:pPr>
        <w:ind w:left="6576" w:hanging="301"/>
      </w:pPr>
      <w:rPr>
        <w:rFonts w:hint="default"/>
        <w:lang w:val="en-US" w:eastAsia="en-US" w:bidi="ar-SA"/>
      </w:rPr>
    </w:lvl>
    <w:lvl w:ilvl="7" w:tplc="B4906DBA">
      <w:numFmt w:val="bullet"/>
      <w:lvlText w:val="•"/>
      <w:lvlJc w:val="left"/>
      <w:pPr>
        <w:ind w:left="7602" w:hanging="301"/>
      </w:pPr>
      <w:rPr>
        <w:rFonts w:hint="default"/>
        <w:lang w:val="en-US" w:eastAsia="en-US" w:bidi="ar-SA"/>
      </w:rPr>
    </w:lvl>
    <w:lvl w:ilvl="8" w:tplc="0DEA4D26">
      <w:numFmt w:val="bullet"/>
      <w:lvlText w:val="•"/>
      <w:lvlJc w:val="left"/>
      <w:pPr>
        <w:ind w:left="8628" w:hanging="30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FE"/>
    <w:rsid w:val="00103711"/>
    <w:rsid w:val="002534AA"/>
    <w:rsid w:val="003E7AEB"/>
    <w:rsid w:val="004524D1"/>
    <w:rsid w:val="005135FE"/>
    <w:rsid w:val="00592D66"/>
    <w:rsid w:val="008A1679"/>
    <w:rsid w:val="00A50924"/>
    <w:rsid w:val="00D072C7"/>
    <w:rsid w:val="00E17013"/>
    <w:rsid w:val="00EC73F1"/>
    <w:rsid w:val="00F8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356B21-C1D5-4567-A3AA-CFCC10E2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25"/>
      <w:ind w:left="2512" w:right="241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36" w:hanging="361"/>
    </w:pPr>
  </w:style>
  <w:style w:type="paragraph" w:customStyle="1" w:styleId="TableParagraph">
    <w:name w:val="Table Paragraph"/>
    <w:basedOn w:val="Normal"/>
    <w:uiPriority w:val="1"/>
    <w:qFormat/>
    <w:pPr>
      <w:spacing w:before="34" w:line="210" w:lineRule="exact"/>
      <w:ind w:left="4"/>
    </w:pPr>
  </w:style>
  <w:style w:type="paragraph" w:styleId="Header">
    <w:name w:val="header"/>
    <w:basedOn w:val="Normal"/>
    <w:link w:val="HeaderChar"/>
    <w:uiPriority w:val="99"/>
    <w:unhideWhenUsed/>
    <w:rsid w:val="00A509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92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509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92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92D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2D6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2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2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xxxxxxxxxxxxxxxxxxxxxxxxxxxx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PB01IT01VDI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Buie, Shenika</dc:creator>
  <cp:lastModifiedBy>Ferreras, Nelson</cp:lastModifiedBy>
  <cp:revision>7</cp:revision>
  <cp:lastPrinted>2025-07-21T22:54:00Z</cp:lastPrinted>
  <dcterms:created xsi:type="dcterms:W3CDTF">2025-07-14T20:29:00Z</dcterms:created>
  <dcterms:modified xsi:type="dcterms:W3CDTF">2025-07-22T20:01:00Z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2025-07-14T00:00:00Z</vt:filetime>
  </property>
  <property fmtid="{D5CDD505-2E9C-101B-9397-08002B2CF9AE}" pid="5" name="Producer">
    <vt:lpwstr>Microsoft® Word for Microsoft 365</vt:lpwstr>
  </property>
</Properties>
</file>