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C0" w:rsidRDefault="00E40A00" w:rsidP="00F0509C">
      <w:pPr>
        <w:ind w:left="2160" w:right="118" w:firstLine="720"/>
        <w:rPr>
          <w:b/>
          <w:sz w:val="36"/>
        </w:rPr>
      </w:pPr>
      <w:bookmarkStart w:id="0" w:name="Financial_Assistance,_C-210"/>
      <w:bookmarkEnd w:id="0"/>
      <w:r>
        <w:rPr>
          <w:b/>
          <w:spacing w:val="-4"/>
          <w:sz w:val="36"/>
        </w:rPr>
        <w:t>Financial</w:t>
      </w:r>
      <w:r>
        <w:rPr>
          <w:b/>
          <w:spacing w:val="-24"/>
          <w:sz w:val="36"/>
        </w:rPr>
        <w:t xml:space="preserve"> </w:t>
      </w:r>
      <w:r>
        <w:rPr>
          <w:b/>
          <w:spacing w:val="-4"/>
          <w:sz w:val="36"/>
        </w:rPr>
        <w:t>Assistance,</w:t>
      </w:r>
      <w:r>
        <w:rPr>
          <w:b/>
          <w:spacing w:val="-21"/>
          <w:sz w:val="36"/>
        </w:rPr>
        <w:t xml:space="preserve"> </w:t>
      </w:r>
      <w:r>
        <w:rPr>
          <w:b/>
          <w:spacing w:val="-4"/>
          <w:sz w:val="36"/>
        </w:rPr>
        <w:t>C-</w:t>
      </w:r>
      <w:r>
        <w:rPr>
          <w:b/>
          <w:spacing w:val="-5"/>
          <w:sz w:val="36"/>
        </w:rPr>
        <w:t>210</w:t>
      </w:r>
    </w:p>
    <w:p w:rsidR="00DD56C0" w:rsidRDefault="00E40A00">
      <w:pPr>
        <w:pStyle w:val="BodyText"/>
        <w:spacing w:before="59"/>
        <w:rPr>
          <w:b/>
          <w:sz w:val="20"/>
        </w:rPr>
      </w:pPr>
      <w:r>
        <w:rPr>
          <w:noProof/>
        </w:rPr>
        <mc:AlternateContent>
          <mc:Choice Requires="wps">
            <w:drawing>
              <wp:anchor distT="0" distB="0" distL="0" distR="0" simplePos="0" relativeHeight="487587840" behindDoc="1" locked="0" layoutInCell="1" allowOverlap="1">
                <wp:simplePos x="0" y="0"/>
                <wp:positionH relativeFrom="page">
                  <wp:posOffset>801121</wp:posOffset>
                </wp:positionH>
                <wp:positionV relativeFrom="paragraph">
                  <wp:posOffset>200314</wp:posOffset>
                </wp:positionV>
                <wp:extent cx="618172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9525"/>
                        </a:xfrm>
                        <a:custGeom>
                          <a:avLst/>
                          <a:gdLst/>
                          <a:ahLst/>
                          <a:cxnLst/>
                          <a:rect l="l" t="t" r="r" b="b"/>
                          <a:pathLst>
                            <a:path w="6181725" h="9525">
                              <a:moveTo>
                                <a:pt x="6171250" y="9619"/>
                              </a:moveTo>
                              <a:lnTo>
                                <a:pt x="-1201" y="9619"/>
                              </a:lnTo>
                              <a:lnTo>
                                <a:pt x="-1201" y="19130"/>
                              </a:lnTo>
                              <a:lnTo>
                                <a:pt x="6171250" y="19130"/>
                              </a:lnTo>
                              <a:lnTo>
                                <a:pt x="6171250" y="9619"/>
                              </a:lnTo>
                              <a:close/>
                            </a:path>
                          </a:pathLst>
                        </a:custGeom>
                        <a:solidFill>
                          <a:srgbClr val="D0D5DA"/>
                        </a:solidFill>
                      </wps:spPr>
                      <wps:bodyPr wrap="square" lIns="0" tIns="0" rIns="0" bIns="0" rtlCol="0">
                        <a:prstTxWarp prst="textNoShape">
                          <a:avLst/>
                        </a:prstTxWarp>
                        <a:noAutofit/>
                      </wps:bodyPr>
                    </wps:wsp>
                  </a:graphicData>
                </a:graphic>
              </wp:anchor>
            </w:drawing>
          </mc:Choice>
          <mc:Fallback>
            <w:pict>
              <v:shape w14:anchorId="3799E47B" id="Graphic 11" o:spid="_x0000_s1026" style="position:absolute;margin-left:63.1pt;margin-top:15.75pt;width:486.7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81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" path="m6171250,9619r-6172451,l-1201,19130r6172451,l6171250,9619xe" fillcolor="#d0d5da" stroked="f">
                <v:path arrowok="t"/>
                <w10:wrap type="topAndBottom" anchorx="page"/>
              </v:shape>
            </w:pict>
          </mc:Fallback>
        </mc:AlternateContent>
      </w:r>
    </w:p>
    <w:p w:rsidR="00DD56C0" w:rsidRDefault="00E40A00">
      <w:pPr>
        <w:pStyle w:val="Heading1"/>
        <w:spacing w:before="152"/>
      </w:pPr>
      <w:bookmarkStart w:id="1" w:name="RESPONSIBILITY:"/>
      <w:bookmarkStart w:id="2" w:name="POLICY:"/>
      <w:bookmarkStart w:id="3" w:name="_GoBack"/>
      <w:bookmarkEnd w:id="1"/>
      <w:bookmarkEnd w:id="2"/>
      <w:bookmarkEnd w:id="3"/>
      <w:r>
        <w:rPr>
          <w:color w:val="182D4A"/>
          <w:spacing w:val="-2"/>
        </w:rPr>
        <w:t>POLICY:</w:t>
      </w:r>
    </w:p>
    <w:p w:rsidR="00DD56C0" w:rsidRPr="002017DA" w:rsidRDefault="00E40A00">
      <w:pPr>
        <w:pStyle w:val="BodyText"/>
        <w:spacing w:before="160" w:line="295" w:lineRule="auto"/>
        <w:ind w:left="409" w:right="205"/>
        <w:rPr>
          <w:color w:val="182D4A"/>
          <w:spacing w:val="-2"/>
          <w:szCs w:val="22"/>
        </w:rPr>
      </w:pPr>
      <w:r w:rsidRPr="002017DA">
        <w:rPr>
          <w:color w:val="182D4A"/>
          <w:spacing w:val="-2"/>
          <w:szCs w:val="22"/>
        </w:rPr>
        <w:t>The Brooklyn Hospital Center (TBHC) is committed to providing financial assistance to persons who have healthcare needs and are uninsured, underinsured, ineligible for a government program, or otherwise unable to pay, for medically necessary care based on their individuals financial situation.</w:t>
      </w:r>
    </w:p>
    <w:p w:rsidR="00DD56C0" w:rsidRPr="002017DA" w:rsidRDefault="00E40A00">
      <w:pPr>
        <w:pStyle w:val="BodyText"/>
        <w:spacing w:before="148" w:line="295" w:lineRule="auto"/>
        <w:ind w:left="409"/>
        <w:rPr>
          <w:color w:val="182D4A"/>
          <w:spacing w:val="-2"/>
          <w:szCs w:val="22"/>
        </w:rPr>
      </w:pPr>
      <w:r w:rsidRPr="002017DA">
        <w:rPr>
          <w:color w:val="182D4A"/>
          <w:spacing w:val="-2"/>
          <w:szCs w:val="22"/>
        </w:rPr>
        <w:t>Consistent with its mission TBHC is dedicated to providing outstanding health services, education, and research to keep the people of Brooklyn and greater New York healthy. TBHC strives to ensure that the financial capacity of people who need health care services does not prevent them from seeking or receiving care.</w:t>
      </w:r>
    </w:p>
    <w:p w:rsidR="00DD56C0" w:rsidRDefault="00E40A00">
      <w:pPr>
        <w:pStyle w:val="Heading1"/>
        <w:numPr>
          <w:ilvl w:val="0"/>
          <w:numId w:val="2"/>
        </w:numPr>
        <w:tabs>
          <w:tab w:val="left" w:pos="781"/>
        </w:tabs>
        <w:spacing w:before="80"/>
        <w:ind w:left="781" w:hanging="372"/>
      </w:pPr>
      <w:bookmarkStart w:id="4" w:name="Definitions"/>
      <w:bookmarkEnd w:id="4"/>
      <w:r>
        <w:rPr>
          <w:color w:val="182D4A"/>
          <w:spacing w:val="-2"/>
        </w:rPr>
        <w:t>Definitions</w:t>
      </w:r>
    </w:p>
    <w:p w:rsidR="00DD56C0" w:rsidRDefault="00E40A00">
      <w:pPr>
        <w:pStyle w:val="BodyText"/>
        <w:spacing w:before="160"/>
        <w:ind w:left="409"/>
      </w:pPr>
      <w:r>
        <w:rPr>
          <w:color w:val="182D4A"/>
          <w:spacing w:val="-4"/>
        </w:rPr>
        <w:t>For</w:t>
      </w:r>
      <w:r>
        <w:rPr>
          <w:color w:val="182D4A"/>
          <w:spacing w:val="-8"/>
        </w:rPr>
        <w:t xml:space="preserve"> </w:t>
      </w:r>
      <w:r>
        <w:rPr>
          <w:color w:val="182D4A"/>
          <w:spacing w:val="-4"/>
        </w:rPr>
        <w:t>the</w:t>
      </w:r>
      <w:r>
        <w:rPr>
          <w:color w:val="182D4A"/>
          <w:spacing w:val="-7"/>
        </w:rPr>
        <w:t xml:space="preserve"> </w:t>
      </w:r>
      <w:r>
        <w:rPr>
          <w:color w:val="182D4A"/>
          <w:spacing w:val="-4"/>
        </w:rPr>
        <w:t>purpose</w:t>
      </w:r>
      <w:r>
        <w:rPr>
          <w:color w:val="182D4A"/>
          <w:spacing w:val="-7"/>
        </w:rPr>
        <w:t xml:space="preserve"> </w:t>
      </w:r>
      <w:r>
        <w:rPr>
          <w:color w:val="182D4A"/>
          <w:spacing w:val="-4"/>
        </w:rPr>
        <w:t>of</w:t>
      </w:r>
      <w:r>
        <w:rPr>
          <w:color w:val="182D4A"/>
          <w:spacing w:val="-7"/>
        </w:rPr>
        <w:t xml:space="preserve"> </w:t>
      </w:r>
      <w:r>
        <w:rPr>
          <w:color w:val="182D4A"/>
          <w:spacing w:val="-4"/>
        </w:rPr>
        <w:t>this</w:t>
      </w:r>
      <w:r>
        <w:rPr>
          <w:color w:val="182D4A"/>
          <w:spacing w:val="-5"/>
        </w:rPr>
        <w:t xml:space="preserve"> </w:t>
      </w:r>
      <w:r>
        <w:rPr>
          <w:color w:val="182D4A"/>
          <w:spacing w:val="-4"/>
        </w:rPr>
        <w:t>policy,</w:t>
      </w:r>
      <w:r>
        <w:rPr>
          <w:color w:val="182D4A"/>
          <w:spacing w:val="-7"/>
        </w:rPr>
        <w:t xml:space="preserve"> </w:t>
      </w:r>
      <w:r>
        <w:rPr>
          <w:color w:val="182D4A"/>
          <w:spacing w:val="-4"/>
        </w:rPr>
        <w:t>the</w:t>
      </w:r>
      <w:r>
        <w:rPr>
          <w:color w:val="182D4A"/>
          <w:spacing w:val="-7"/>
        </w:rPr>
        <w:t xml:space="preserve"> </w:t>
      </w:r>
      <w:r>
        <w:rPr>
          <w:color w:val="182D4A"/>
          <w:spacing w:val="-4"/>
        </w:rPr>
        <w:t>terms</w:t>
      </w:r>
      <w:r>
        <w:rPr>
          <w:color w:val="182D4A"/>
          <w:spacing w:val="-7"/>
        </w:rPr>
        <w:t xml:space="preserve"> </w:t>
      </w:r>
      <w:r>
        <w:rPr>
          <w:color w:val="182D4A"/>
          <w:spacing w:val="-4"/>
        </w:rPr>
        <w:t>below</w:t>
      </w:r>
      <w:r>
        <w:rPr>
          <w:color w:val="182D4A"/>
          <w:spacing w:val="-5"/>
        </w:rPr>
        <w:t xml:space="preserve"> </w:t>
      </w:r>
      <w:r>
        <w:rPr>
          <w:color w:val="182D4A"/>
          <w:spacing w:val="-4"/>
        </w:rPr>
        <w:t>are</w:t>
      </w:r>
      <w:r>
        <w:rPr>
          <w:color w:val="182D4A"/>
          <w:spacing w:val="-7"/>
        </w:rPr>
        <w:t xml:space="preserve"> </w:t>
      </w:r>
      <w:r>
        <w:rPr>
          <w:color w:val="182D4A"/>
          <w:spacing w:val="-4"/>
        </w:rPr>
        <w:t>defined</w:t>
      </w:r>
      <w:r>
        <w:rPr>
          <w:color w:val="182D4A"/>
          <w:spacing w:val="-7"/>
        </w:rPr>
        <w:t xml:space="preserve"> </w:t>
      </w:r>
      <w:r>
        <w:rPr>
          <w:color w:val="182D4A"/>
          <w:spacing w:val="-4"/>
        </w:rPr>
        <w:t>as</w:t>
      </w:r>
      <w:r>
        <w:rPr>
          <w:color w:val="182D4A"/>
          <w:spacing w:val="-7"/>
        </w:rPr>
        <w:t xml:space="preserve"> </w:t>
      </w:r>
      <w:r>
        <w:rPr>
          <w:color w:val="182D4A"/>
          <w:spacing w:val="-4"/>
        </w:rPr>
        <w:t>follows:</w:t>
      </w:r>
    </w:p>
    <w:p w:rsidR="00DD56C0" w:rsidRPr="00376E9B" w:rsidRDefault="008B7FD1">
      <w:pPr>
        <w:pStyle w:val="BodyText"/>
        <w:spacing w:before="206" w:line="295" w:lineRule="auto"/>
        <w:ind w:left="409" w:right="205"/>
        <w:rPr>
          <w:color w:val="182D4A"/>
          <w:spacing w:val="-4"/>
          <w:szCs w:val="22"/>
        </w:rPr>
      </w:pPr>
      <w:r>
        <w:rPr>
          <w:b/>
          <w:color w:val="182D4A"/>
          <w:spacing w:val="-2"/>
        </w:rPr>
        <w:t xml:space="preserve">Financial Assistance: </w:t>
      </w:r>
      <w:r w:rsidRPr="00376E9B">
        <w:rPr>
          <w:color w:val="182D4A"/>
          <w:spacing w:val="-4"/>
          <w:szCs w:val="22"/>
        </w:rPr>
        <w:t>The discount offered by TBHC to persons who cannot afford to pay for the care they received for emergency medical care or other medically necessary service based on this policy.</w:t>
      </w:r>
    </w:p>
    <w:p w:rsidR="00DD56C0" w:rsidRPr="00376E9B" w:rsidRDefault="00E40A00">
      <w:pPr>
        <w:pStyle w:val="BodyText"/>
        <w:spacing w:before="148" w:line="295" w:lineRule="auto"/>
        <w:ind w:left="409"/>
        <w:rPr>
          <w:color w:val="182D4A"/>
          <w:spacing w:val="-4"/>
          <w:szCs w:val="22"/>
        </w:rPr>
      </w:pPr>
      <w:r>
        <w:rPr>
          <w:b/>
          <w:color w:val="182D4A"/>
          <w:spacing w:val="-2"/>
        </w:rPr>
        <w:t>Family:</w:t>
      </w:r>
      <w:r>
        <w:rPr>
          <w:b/>
          <w:color w:val="182D4A"/>
          <w:spacing w:val="-8"/>
        </w:rPr>
        <w:t xml:space="preserve"> </w:t>
      </w:r>
      <w:r w:rsidR="006D5B43" w:rsidRPr="00376E9B">
        <w:rPr>
          <w:color w:val="182D4A"/>
          <w:spacing w:val="-4"/>
          <w:szCs w:val="22"/>
        </w:rPr>
        <w:t>A</w:t>
      </w:r>
      <w:r w:rsidRPr="00376E9B">
        <w:rPr>
          <w:color w:val="182D4A"/>
          <w:spacing w:val="-4"/>
          <w:szCs w:val="22"/>
        </w:rPr>
        <w:t xml:space="preserve"> group of two or more people who reside together and who are related by birth, marriage, or adoption. According to Internal Revenue Service rules, if the patient claims someone as a dependent on their income tax return, they may be considered a dependent for purposes of the provision of financial assistance.</w:t>
      </w:r>
    </w:p>
    <w:p w:rsidR="00DD56C0" w:rsidRPr="00376E9B" w:rsidRDefault="00E40A00" w:rsidP="006D5B43">
      <w:pPr>
        <w:pStyle w:val="BodyText"/>
        <w:spacing w:before="149" w:line="295" w:lineRule="auto"/>
        <w:ind w:left="409" w:right="110"/>
        <w:rPr>
          <w:color w:val="182D4A"/>
          <w:spacing w:val="-4"/>
          <w:szCs w:val="22"/>
        </w:rPr>
      </w:pPr>
      <w:r>
        <w:rPr>
          <w:b/>
          <w:color w:val="182D4A"/>
          <w:spacing w:val="-2"/>
        </w:rPr>
        <w:t>Family</w:t>
      </w:r>
      <w:r>
        <w:rPr>
          <w:b/>
          <w:color w:val="182D4A"/>
          <w:spacing w:val="-8"/>
        </w:rPr>
        <w:t xml:space="preserve"> </w:t>
      </w:r>
      <w:r>
        <w:rPr>
          <w:b/>
          <w:color w:val="182D4A"/>
          <w:spacing w:val="-2"/>
        </w:rPr>
        <w:t>Income</w:t>
      </w:r>
      <w:r>
        <w:rPr>
          <w:color w:val="182D4A"/>
          <w:spacing w:val="-2"/>
        </w:rPr>
        <w:t>:</w:t>
      </w:r>
      <w:r w:rsidR="006D5B43">
        <w:rPr>
          <w:color w:val="182D4A"/>
          <w:spacing w:val="-2"/>
        </w:rPr>
        <w:t xml:space="preserve"> </w:t>
      </w:r>
      <w:r w:rsidR="006D5B43" w:rsidRPr="00376E9B">
        <w:rPr>
          <w:color w:val="182D4A"/>
          <w:spacing w:val="-4"/>
          <w:szCs w:val="22"/>
        </w:rPr>
        <w:t xml:space="preserve">Includes wages, salary, unemployment compensation, Social Security payment, disability payment, workers comp, alimony, child support, dividend/interest, rental income, </w:t>
      </w:r>
      <w:r w:rsidR="00464682" w:rsidRPr="00376E9B">
        <w:rPr>
          <w:color w:val="182D4A"/>
          <w:spacing w:val="-4"/>
          <w:szCs w:val="22"/>
        </w:rPr>
        <w:t>royalties, pension, retirement income</w:t>
      </w:r>
      <w:r w:rsidRPr="00376E9B">
        <w:rPr>
          <w:color w:val="182D4A"/>
          <w:spacing w:val="-4"/>
          <w:szCs w:val="22"/>
        </w:rPr>
        <w:t xml:space="preserve"> </w:t>
      </w:r>
      <w:r w:rsidR="006D5B43" w:rsidRPr="00376E9B">
        <w:rPr>
          <w:color w:val="182D4A"/>
          <w:spacing w:val="-4"/>
          <w:szCs w:val="22"/>
        </w:rPr>
        <w:t>and other miscellaneous sources.</w:t>
      </w:r>
    </w:p>
    <w:p w:rsidR="00DD56C0" w:rsidRPr="00376E9B" w:rsidRDefault="00E40A00">
      <w:pPr>
        <w:pStyle w:val="BodyText"/>
        <w:spacing w:before="222" w:line="295" w:lineRule="auto"/>
        <w:ind w:left="409"/>
        <w:rPr>
          <w:color w:val="182D4A"/>
          <w:spacing w:val="-4"/>
          <w:szCs w:val="22"/>
        </w:rPr>
      </w:pPr>
      <w:r>
        <w:rPr>
          <w:b/>
          <w:color w:val="182D4A"/>
          <w:spacing w:val="-2"/>
        </w:rPr>
        <w:t>Uninsured:</w:t>
      </w:r>
      <w:r>
        <w:rPr>
          <w:b/>
          <w:color w:val="182D4A"/>
          <w:spacing w:val="-9"/>
        </w:rPr>
        <w:t xml:space="preserve"> </w:t>
      </w:r>
      <w:r w:rsidRPr="00376E9B">
        <w:rPr>
          <w:color w:val="182D4A"/>
          <w:spacing w:val="-4"/>
          <w:szCs w:val="22"/>
        </w:rPr>
        <w:t>The patient has no level of insurance or third party assistance to assist with meeting his/her payment obligations.</w:t>
      </w:r>
    </w:p>
    <w:p w:rsidR="00DD56C0" w:rsidRPr="002017DA" w:rsidRDefault="00E40A00">
      <w:pPr>
        <w:pStyle w:val="BodyText"/>
        <w:spacing w:before="149" w:line="295" w:lineRule="auto"/>
        <w:ind w:left="409" w:right="205"/>
        <w:rPr>
          <w:color w:val="182D4A"/>
          <w:spacing w:val="-2"/>
          <w:szCs w:val="22"/>
        </w:rPr>
      </w:pPr>
      <w:r>
        <w:rPr>
          <w:b/>
          <w:color w:val="182D4A"/>
          <w:spacing w:val="-2"/>
        </w:rPr>
        <w:t>Underinsured:</w:t>
      </w:r>
      <w:r>
        <w:rPr>
          <w:b/>
          <w:color w:val="182D4A"/>
          <w:spacing w:val="-13"/>
        </w:rPr>
        <w:t xml:space="preserve"> </w:t>
      </w:r>
      <w:r w:rsidR="008B7FD1" w:rsidRPr="002017DA">
        <w:rPr>
          <w:color w:val="182D4A"/>
          <w:spacing w:val="-2"/>
          <w:szCs w:val="22"/>
        </w:rPr>
        <w:t>Defined by patien</w:t>
      </w:r>
      <w:r w:rsidR="006D5B43" w:rsidRPr="002017DA">
        <w:rPr>
          <w:color w:val="182D4A"/>
          <w:spacing w:val="-2"/>
          <w:szCs w:val="22"/>
        </w:rPr>
        <w:t xml:space="preserve">ts whose paid medical expenses </w:t>
      </w:r>
      <w:r w:rsidR="00464682" w:rsidRPr="002017DA">
        <w:rPr>
          <w:color w:val="182D4A"/>
          <w:spacing w:val="-2"/>
          <w:szCs w:val="22"/>
        </w:rPr>
        <w:t xml:space="preserve">have exceeded </w:t>
      </w:r>
      <w:r w:rsidR="008B7FD1" w:rsidRPr="002017DA">
        <w:rPr>
          <w:color w:val="182D4A"/>
          <w:spacing w:val="-2"/>
          <w:szCs w:val="22"/>
        </w:rPr>
        <w:t>10% of their income in the last 12 months.</w:t>
      </w:r>
    </w:p>
    <w:p w:rsidR="00464682" w:rsidRPr="002017DA" w:rsidRDefault="004B6023">
      <w:pPr>
        <w:pStyle w:val="BodyText"/>
        <w:spacing w:before="149" w:line="295" w:lineRule="auto"/>
        <w:ind w:left="409" w:right="205"/>
        <w:rPr>
          <w:color w:val="182D4A"/>
          <w:spacing w:val="-2"/>
          <w:szCs w:val="22"/>
        </w:rPr>
      </w:pPr>
      <w:r>
        <w:rPr>
          <w:b/>
          <w:color w:val="182D4A"/>
          <w:spacing w:val="-2"/>
        </w:rPr>
        <w:lastRenderedPageBreak/>
        <w:t>Emergency Medical Care:</w:t>
      </w:r>
      <w:r>
        <w:t xml:space="preserve"> </w:t>
      </w:r>
      <w:r w:rsidRPr="002017DA">
        <w:rPr>
          <w:color w:val="182D4A"/>
          <w:spacing w:val="-2"/>
          <w:szCs w:val="22"/>
        </w:rPr>
        <w:t>Healthcare services that a hospital or physician would provide to a patient exhibiting an emergency medical condition.</w:t>
      </w:r>
    </w:p>
    <w:p w:rsidR="004B6023" w:rsidRPr="002017DA" w:rsidRDefault="004B6023">
      <w:pPr>
        <w:pStyle w:val="BodyText"/>
        <w:spacing w:before="149" w:line="295" w:lineRule="auto"/>
        <w:ind w:left="409" w:right="205"/>
        <w:rPr>
          <w:color w:val="182D4A"/>
          <w:spacing w:val="-2"/>
          <w:szCs w:val="22"/>
        </w:rPr>
      </w:pPr>
      <w:r>
        <w:rPr>
          <w:b/>
          <w:color w:val="182D4A"/>
          <w:spacing w:val="-2"/>
        </w:rPr>
        <w:t>Medically Necessary Services:</w:t>
      </w:r>
      <w:r>
        <w:t xml:space="preserve"> </w:t>
      </w:r>
      <w:r w:rsidRPr="002017DA">
        <w:rPr>
          <w:color w:val="182D4A"/>
          <w:spacing w:val="-2"/>
          <w:szCs w:val="22"/>
        </w:rPr>
        <w:t>Healthcare services that a physician would provide to a patient for the purpose of evaluating, diagnosing, or treating an illness, injury, disease or it’s symptoms and that are clinically appropriate and not primarily for the convenience of the patient or cosmetic</w:t>
      </w:r>
      <w:r w:rsidR="00336A34" w:rsidRPr="002017DA">
        <w:rPr>
          <w:color w:val="182D4A"/>
          <w:spacing w:val="-2"/>
          <w:szCs w:val="22"/>
        </w:rPr>
        <w:t>.</w:t>
      </w:r>
    </w:p>
    <w:p w:rsidR="00DD56C0" w:rsidRPr="008F460D" w:rsidRDefault="00E40A00">
      <w:pPr>
        <w:pStyle w:val="Heading1"/>
        <w:numPr>
          <w:ilvl w:val="0"/>
          <w:numId w:val="2"/>
        </w:numPr>
        <w:tabs>
          <w:tab w:val="left" w:pos="911"/>
        </w:tabs>
        <w:spacing w:before="96"/>
        <w:ind w:left="911" w:hanging="502"/>
      </w:pPr>
      <w:bookmarkStart w:id="5" w:name="Procedures"/>
      <w:bookmarkEnd w:id="5"/>
      <w:r>
        <w:rPr>
          <w:color w:val="182D4A"/>
          <w:spacing w:val="-2"/>
        </w:rPr>
        <w:t>Procedures</w:t>
      </w:r>
    </w:p>
    <w:p w:rsidR="008F460D" w:rsidRPr="00376E9B" w:rsidRDefault="008F460D" w:rsidP="008F460D">
      <w:pPr>
        <w:pStyle w:val="BodyText"/>
        <w:spacing w:before="147" w:line="295" w:lineRule="auto"/>
        <w:ind w:left="782" w:right="110"/>
        <w:rPr>
          <w:color w:val="182D4A"/>
          <w:spacing w:val="-4"/>
          <w:szCs w:val="22"/>
        </w:rPr>
      </w:pPr>
      <w:r w:rsidRPr="00376E9B">
        <w:rPr>
          <w:color w:val="182D4A"/>
          <w:spacing w:val="-4"/>
          <w:szCs w:val="22"/>
        </w:rPr>
        <w:t>In order to manage its resources responsibly and to allow TBHC to provide the appropriate level of Financial Assistance to persons in need, the following procedures and guidelines have been established for the provision of Financial A</w:t>
      </w:r>
      <w:r w:rsidR="00336A34" w:rsidRPr="00376E9B">
        <w:rPr>
          <w:color w:val="182D4A"/>
          <w:spacing w:val="-4"/>
          <w:szCs w:val="22"/>
        </w:rPr>
        <w:t>ssistance in accordance with State and Federal regulations.</w:t>
      </w:r>
    </w:p>
    <w:p w:rsidR="00DD56C0" w:rsidRPr="00376E9B" w:rsidRDefault="008B7FD1">
      <w:pPr>
        <w:pStyle w:val="ListParagraph"/>
        <w:numPr>
          <w:ilvl w:val="0"/>
          <w:numId w:val="1"/>
        </w:numPr>
        <w:tabs>
          <w:tab w:val="left" w:pos="1336"/>
          <w:tab w:val="left" w:pos="1338"/>
        </w:tabs>
        <w:spacing w:before="75" w:line="268" w:lineRule="auto"/>
        <w:ind w:right="385" w:hanging="346"/>
        <w:rPr>
          <w:color w:val="182D4A"/>
          <w:spacing w:val="-4"/>
          <w:sz w:val="21"/>
        </w:rPr>
      </w:pPr>
      <w:r w:rsidRPr="00336A34">
        <w:rPr>
          <w:b/>
          <w:color w:val="182D4A"/>
          <w:spacing w:val="-2"/>
          <w:sz w:val="21"/>
        </w:rPr>
        <w:t>Eligibility for Financial Assistance</w:t>
      </w:r>
      <w:r>
        <w:rPr>
          <w:color w:val="182D4A"/>
          <w:spacing w:val="-2"/>
          <w:sz w:val="21"/>
        </w:rPr>
        <w:t xml:space="preserve">: </w:t>
      </w:r>
      <w:r w:rsidRPr="00376E9B">
        <w:rPr>
          <w:color w:val="182D4A"/>
          <w:spacing w:val="-4"/>
          <w:sz w:val="21"/>
        </w:rPr>
        <w:t>New York State residents</w:t>
      </w:r>
      <w:r w:rsidR="006D5B43" w:rsidRPr="00376E9B">
        <w:rPr>
          <w:color w:val="182D4A"/>
          <w:spacing w:val="-4"/>
          <w:sz w:val="21"/>
        </w:rPr>
        <w:t xml:space="preserve"> </w:t>
      </w:r>
      <w:r w:rsidR="00336A34" w:rsidRPr="00376E9B">
        <w:rPr>
          <w:color w:val="182D4A"/>
          <w:spacing w:val="-4"/>
          <w:sz w:val="21"/>
        </w:rPr>
        <w:t>are eligible for financial assistance if (a) they receive emergency medical care or other medically necessary services at TBHC and (b) are uninsured, underinsured, ineligible for Medicaid or other insurance programs</w:t>
      </w:r>
      <w:r w:rsidR="00F21FA2" w:rsidRPr="00376E9B">
        <w:rPr>
          <w:color w:val="182D4A"/>
          <w:spacing w:val="-4"/>
          <w:sz w:val="21"/>
        </w:rPr>
        <w:t xml:space="preserve"> and (c) meet the financial assistance guidelines related to this Policy. </w:t>
      </w:r>
      <w:r w:rsidR="00E40A00" w:rsidRPr="00376E9B">
        <w:rPr>
          <w:color w:val="182D4A"/>
          <w:spacing w:val="-4"/>
          <w:sz w:val="21"/>
        </w:rPr>
        <w:t xml:space="preserve">The granting </w:t>
      </w:r>
      <w:r w:rsidR="00F21FA2" w:rsidRPr="00376E9B">
        <w:rPr>
          <w:color w:val="182D4A"/>
          <w:spacing w:val="-4"/>
          <w:sz w:val="21"/>
        </w:rPr>
        <w:t xml:space="preserve">of assistance </w:t>
      </w:r>
      <w:r w:rsidR="00E40A00" w:rsidRPr="00376E9B">
        <w:rPr>
          <w:color w:val="182D4A"/>
          <w:spacing w:val="-4"/>
          <w:sz w:val="21"/>
        </w:rPr>
        <w:t>shall be based on an individualized determination of financial need, and shall not take into account age, gender, race, social or immigra</w:t>
      </w:r>
      <w:r w:rsidR="003E2D96" w:rsidRPr="00376E9B">
        <w:rPr>
          <w:color w:val="182D4A"/>
          <w:spacing w:val="-4"/>
          <w:sz w:val="21"/>
        </w:rPr>
        <w:t xml:space="preserve">tion </w:t>
      </w:r>
      <w:r w:rsidR="00E40A00" w:rsidRPr="00376E9B">
        <w:rPr>
          <w:color w:val="182D4A"/>
          <w:spacing w:val="-4"/>
          <w:sz w:val="21"/>
        </w:rPr>
        <w:t>status, sexual orientation or religious affiliation.</w:t>
      </w:r>
    </w:p>
    <w:p w:rsidR="00DD56C0" w:rsidRPr="00376E9B" w:rsidRDefault="00E40A00">
      <w:pPr>
        <w:pStyle w:val="ListParagraph"/>
        <w:numPr>
          <w:ilvl w:val="0"/>
          <w:numId w:val="1"/>
        </w:numPr>
        <w:tabs>
          <w:tab w:val="left" w:pos="1336"/>
        </w:tabs>
        <w:spacing w:before="102"/>
        <w:ind w:left="1336" w:hanging="350"/>
        <w:rPr>
          <w:color w:val="182D4A"/>
          <w:spacing w:val="-4"/>
          <w:sz w:val="21"/>
        </w:rPr>
      </w:pPr>
      <w:r w:rsidRPr="00F21FA2">
        <w:rPr>
          <w:b/>
          <w:color w:val="182D4A"/>
          <w:spacing w:val="-4"/>
          <w:sz w:val="21"/>
        </w:rPr>
        <w:t>Determination</w:t>
      </w:r>
      <w:r w:rsidRPr="00F21FA2">
        <w:rPr>
          <w:b/>
          <w:color w:val="182D4A"/>
          <w:spacing w:val="-3"/>
          <w:sz w:val="21"/>
        </w:rPr>
        <w:t xml:space="preserve"> </w:t>
      </w:r>
      <w:r w:rsidRPr="00F21FA2">
        <w:rPr>
          <w:b/>
          <w:color w:val="182D4A"/>
          <w:spacing w:val="-4"/>
          <w:sz w:val="21"/>
        </w:rPr>
        <w:t>of</w:t>
      </w:r>
      <w:r w:rsidRPr="00F21FA2">
        <w:rPr>
          <w:b/>
          <w:color w:val="182D4A"/>
          <w:spacing w:val="-1"/>
          <w:sz w:val="21"/>
        </w:rPr>
        <w:t xml:space="preserve"> </w:t>
      </w:r>
      <w:r w:rsidRPr="00F21FA2">
        <w:rPr>
          <w:b/>
          <w:color w:val="182D4A"/>
          <w:spacing w:val="-4"/>
          <w:sz w:val="21"/>
        </w:rPr>
        <w:t>Financial</w:t>
      </w:r>
      <w:r w:rsidRPr="00F21FA2">
        <w:rPr>
          <w:b/>
          <w:color w:val="182D4A"/>
          <w:spacing w:val="-3"/>
          <w:sz w:val="21"/>
        </w:rPr>
        <w:t xml:space="preserve"> </w:t>
      </w:r>
      <w:r w:rsidR="00F21FA2">
        <w:rPr>
          <w:b/>
          <w:color w:val="182D4A"/>
          <w:spacing w:val="-4"/>
          <w:sz w:val="21"/>
        </w:rPr>
        <w:t xml:space="preserve">Need: </w:t>
      </w:r>
      <w:r w:rsidR="00F21FA2" w:rsidRPr="00376E9B">
        <w:rPr>
          <w:color w:val="182D4A"/>
          <w:spacing w:val="-4"/>
          <w:sz w:val="21"/>
        </w:rPr>
        <w:t>Financial Assistance</w:t>
      </w:r>
      <w:r w:rsidR="003E2D96" w:rsidRPr="00376E9B">
        <w:rPr>
          <w:color w:val="182D4A"/>
          <w:spacing w:val="-4"/>
          <w:sz w:val="21"/>
        </w:rPr>
        <w:t xml:space="preserve"> will be considered upon submission of a completed application form and required documentation. The review will be based solely on family size and income as defined in this Policy. Patient’s assets such as car, house, etc. will not be considered. TBHC utilizes the NYS Uniform Financial Assistance Application for patient applying for assistance.</w:t>
      </w:r>
    </w:p>
    <w:p w:rsidR="00A81011" w:rsidRPr="00FB520B" w:rsidRDefault="00A81011">
      <w:pPr>
        <w:pStyle w:val="ListParagraph"/>
        <w:numPr>
          <w:ilvl w:val="0"/>
          <w:numId w:val="1"/>
        </w:numPr>
        <w:tabs>
          <w:tab w:val="left" w:pos="1336"/>
        </w:tabs>
        <w:spacing w:before="102"/>
        <w:ind w:left="1336" w:hanging="350"/>
        <w:rPr>
          <w:b/>
          <w:sz w:val="21"/>
        </w:rPr>
      </w:pPr>
      <w:r>
        <w:rPr>
          <w:b/>
          <w:color w:val="182D4A"/>
          <w:spacing w:val="-4"/>
          <w:sz w:val="21"/>
        </w:rPr>
        <w:t>Process of Applying for Financial Assistance:</w:t>
      </w:r>
      <w:r w:rsidR="00FB520B">
        <w:rPr>
          <w:color w:val="182D4A"/>
          <w:spacing w:val="-4"/>
          <w:sz w:val="21"/>
        </w:rPr>
        <w:t xml:space="preserve"> Patients can</w:t>
      </w:r>
      <w:r>
        <w:rPr>
          <w:color w:val="182D4A"/>
          <w:spacing w:val="-4"/>
          <w:sz w:val="21"/>
        </w:rPr>
        <w:t xml:space="preserve"> apply for Financial Assistance by submitting an application to our Financial Assistance Unit via mail, in person</w:t>
      </w:r>
      <w:r w:rsidR="00B35AE0">
        <w:rPr>
          <w:color w:val="182D4A"/>
          <w:spacing w:val="-4"/>
          <w:sz w:val="21"/>
        </w:rPr>
        <w:t xml:space="preserve"> or by telephone. An application is considered</w:t>
      </w:r>
      <w:r w:rsidR="00DC4FB2">
        <w:rPr>
          <w:color w:val="182D4A"/>
          <w:spacing w:val="-4"/>
          <w:sz w:val="21"/>
        </w:rPr>
        <w:t xml:space="preserve"> complete</w:t>
      </w:r>
      <w:r w:rsidR="00B35AE0">
        <w:rPr>
          <w:color w:val="182D4A"/>
          <w:spacing w:val="-4"/>
          <w:sz w:val="21"/>
        </w:rPr>
        <w:t xml:space="preserve"> when all required documentation has been received. Patients are encouraged to apply for Financial Assistance within 90 days from service date, however TBHC will accept an application at any time patient has an outstanding balance. Once the patient has submitted an application the patient may disregard all bills until a determination has been made on the application.</w:t>
      </w:r>
      <w:r w:rsidR="00FB520B">
        <w:rPr>
          <w:color w:val="182D4A"/>
          <w:spacing w:val="-4"/>
          <w:sz w:val="21"/>
        </w:rPr>
        <w:t xml:space="preserve"> A decision will be made within 30 days of receipt of completed application. Written notificatio</w:t>
      </w:r>
      <w:r w:rsidR="00C20A7C">
        <w:rPr>
          <w:color w:val="182D4A"/>
          <w:spacing w:val="-4"/>
          <w:sz w:val="21"/>
        </w:rPr>
        <w:t xml:space="preserve">n will be provided to patients for all Financial Assistance </w:t>
      </w:r>
      <w:r w:rsidR="00FB520B">
        <w:rPr>
          <w:color w:val="182D4A"/>
          <w:spacing w:val="-4"/>
          <w:sz w:val="21"/>
        </w:rPr>
        <w:t>decision.</w:t>
      </w:r>
    </w:p>
    <w:p w:rsidR="00FB520B" w:rsidRPr="00DC4FB2" w:rsidRDefault="00FB520B">
      <w:pPr>
        <w:pStyle w:val="ListParagraph"/>
        <w:numPr>
          <w:ilvl w:val="0"/>
          <w:numId w:val="1"/>
        </w:numPr>
        <w:tabs>
          <w:tab w:val="left" w:pos="1336"/>
        </w:tabs>
        <w:spacing w:before="102"/>
        <w:ind w:left="1336" w:hanging="350"/>
        <w:rPr>
          <w:b/>
          <w:sz w:val="21"/>
        </w:rPr>
      </w:pPr>
      <w:r>
        <w:rPr>
          <w:b/>
          <w:color w:val="182D4A"/>
          <w:spacing w:val="-4"/>
          <w:sz w:val="21"/>
        </w:rPr>
        <w:t>Approval of Financial Assistance:</w:t>
      </w:r>
      <w:r>
        <w:rPr>
          <w:b/>
          <w:sz w:val="21"/>
        </w:rPr>
        <w:t xml:space="preserve"> </w:t>
      </w:r>
      <w:r>
        <w:rPr>
          <w:sz w:val="21"/>
        </w:rPr>
        <w:t>If a patient is deemed eligible for financial assistance all eligible outstanding balances will be updated based on the approved discount or waived. A Financial Assistance Award Letter will be provided to patient</w:t>
      </w:r>
      <w:r w:rsidR="00DC4FB2">
        <w:rPr>
          <w:sz w:val="21"/>
        </w:rPr>
        <w:t xml:space="preserve"> along with updated billing statements (if any).</w:t>
      </w:r>
      <w:r w:rsidR="002A5F6D">
        <w:rPr>
          <w:sz w:val="21"/>
        </w:rPr>
        <w:t xml:space="preserve"> Please note that NYS Surcharge will be added to all amounts determined to be patient’s responsibility.</w:t>
      </w:r>
    </w:p>
    <w:p w:rsidR="00DC4FB2" w:rsidRPr="00C20A7C" w:rsidRDefault="00DC4FB2">
      <w:pPr>
        <w:pStyle w:val="ListParagraph"/>
        <w:numPr>
          <w:ilvl w:val="0"/>
          <w:numId w:val="1"/>
        </w:numPr>
        <w:tabs>
          <w:tab w:val="left" w:pos="1336"/>
        </w:tabs>
        <w:spacing w:before="102"/>
        <w:ind w:left="1336" w:hanging="350"/>
        <w:rPr>
          <w:b/>
          <w:sz w:val="21"/>
        </w:rPr>
      </w:pPr>
      <w:r>
        <w:rPr>
          <w:b/>
          <w:color w:val="182D4A"/>
          <w:spacing w:val="-4"/>
          <w:sz w:val="21"/>
        </w:rPr>
        <w:t>Incomplete</w:t>
      </w:r>
      <w:r w:rsidR="00E40A00">
        <w:rPr>
          <w:b/>
          <w:color w:val="182D4A"/>
          <w:spacing w:val="-4"/>
          <w:sz w:val="21"/>
        </w:rPr>
        <w:t xml:space="preserve"> Financial Assistance Application</w:t>
      </w:r>
      <w:r w:rsidR="00C20A7C">
        <w:rPr>
          <w:b/>
          <w:color w:val="182D4A"/>
          <w:spacing w:val="-4"/>
          <w:sz w:val="21"/>
        </w:rPr>
        <w:t xml:space="preserve">: </w:t>
      </w:r>
      <w:r w:rsidR="00C20A7C">
        <w:rPr>
          <w:color w:val="182D4A"/>
          <w:spacing w:val="-4"/>
          <w:sz w:val="21"/>
        </w:rPr>
        <w:t>TBHC will send written notification to patient of the additional information/documentation required to make a decision on the application. Patients should submit the additional information within 30 days of the notification.</w:t>
      </w:r>
    </w:p>
    <w:p w:rsidR="00DD56C0" w:rsidRDefault="00C20A7C" w:rsidP="002017DA">
      <w:pPr>
        <w:pStyle w:val="ListParagraph"/>
        <w:numPr>
          <w:ilvl w:val="0"/>
          <w:numId w:val="1"/>
        </w:numPr>
        <w:tabs>
          <w:tab w:val="left" w:pos="1336"/>
        </w:tabs>
        <w:spacing w:before="102"/>
        <w:ind w:left="1336" w:hanging="350"/>
        <w:rPr>
          <w:sz w:val="21"/>
        </w:rPr>
      </w:pPr>
      <w:r>
        <w:rPr>
          <w:b/>
          <w:color w:val="182D4A"/>
          <w:spacing w:val="-4"/>
          <w:sz w:val="21"/>
        </w:rPr>
        <w:t>Appeals for Financial Assistance Determination:</w:t>
      </w:r>
      <w:r>
        <w:rPr>
          <w:b/>
          <w:sz w:val="21"/>
        </w:rPr>
        <w:t xml:space="preserve"> </w:t>
      </w:r>
      <w:r>
        <w:rPr>
          <w:sz w:val="21"/>
        </w:rPr>
        <w:t xml:space="preserve">If the patient is dissatisfied with the decision of the application an appeal can be submitted in writing within 30 days of the determination. A review of the appeal and a decision will be made within 30 days of the received appeal. Patient will not </w:t>
      </w:r>
      <w:r w:rsidR="002017DA">
        <w:rPr>
          <w:sz w:val="21"/>
        </w:rPr>
        <w:t xml:space="preserve">be </w:t>
      </w:r>
      <w:r>
        <w:rPr>
          <w:sz w:val="21"/>
        </w:rPr>
        <w:t>billed during the appeal process</w:t>
      </w:r>
      <w:r w:rsidR="002017DA">
        <w:rPr>
          <w:sz w:val="21"/>
        </w:rPr>
        <w:t>.</w:t>
      </w:r>
      <w:r w:rsidR="00742B2A" w:rsidRPr="00742B2A">
        <w:rPr>
          <w:rFonts w:ascii="Helvetica" w:hAnsi="Helvetica" w:cs="Helvetica"/>
          <w:color w:val="272524"/>
          <w:shd w:val="clear" w:color="auto" w:fill="FFFFFF"/>
        </w:rPr>
        <w:t xml:space="preserve"> </w:t>
      </w:r>
      <w:r w:rsidR="00742B2A">
        <w:rPr>
          <w:sz w:val="21"/>
        </w:rPr>
        <w:t xml:space="preserve">Patients </w:t>
      </w:r>
      <w:r w:rsidR="00742B2A" w:rsidRPr="00742B2A">
        <w:rPr>
          <w:sz w:val="21"/>
        </w:rPr>
        <w:t>may also call the New York State Department of Health at </w:t>
      </w:r>
      <w:hyperlink r:id="rId7" w:history="1">
        <w:r w:rsidR="00742B2A" w:rsidRPr="00742B2A">
          <w:rPr>
            <w:sz w:val="21"/>
          </w:rPr>
          <w:t>518-402-6993</w:t>
        </w:r>
      </w:hyperlink>
      <w:r w:rsidR="00742B2A" w:rsidRPr="00742B2A">
        <w:rPr>
          <w:sz w:val="21"/>
        </w:rPr>
        <w:t> or </w:t>
      </w:r>
      <w:hyperlink r:id="rId8" w:history="1">
        <w:r w:rsidR="00742B2A" w:rsidRPr="00742B2A">
          <w:rPr>
            <w:sz w:val="21"/>
          </w:rPr>
          <w:t>800-804-5447</w:t>
        </w:r>
      </w:hyperlink>
      <w:r w:rsidR="00742B2A" w:rsidRPr="00742B2A">
        <w:rPr>
          <w:sz w:val="21"/>
        </w:rPr>
        <w:t>.</w:t>
      </w:r>
    </w:p>
    <w:p w:rsidR="00810A71" w:rsidRDefault="00810A71" w:rsidP="002017DA">
      <w:pPr>
        <w:pStyle w:val="ListParagraph"/>
        <w:numPr>
          <w:ilvl w:val="0"/>
          <w:numId w:val="1"/>
        </w:numPr>
        <w:tabs>
          <w:tab w:val="left" w:pos="1336"/>
        </w:tabs>
        <w:spacing w:before="102"/>
        <w:ind w:left="1336" w:hanging="350"/>
        <w:rPr>
          <w:sz w:val="21"/>
        </w:rPr>
      </w:pPr>
      <w:r>
        <w:rPr>
          <w:b/>
          <w:color w:val="182D4A"/>
          <w:spacing w:val="-4"/>
          <w:sz w:val="21"/>
        </w:rPr>
        <w:t>Eligibility Period:</w:t>
      </w:r>
      <w:r>
        <w:rPr>
          <w:sz w:val="21"/>
        </w:rPr>
        <w:t xml:space="preserve"> Approved financial assistance discounts will be effective for 1 year from the date of determination. After the termination period the patient will need to re-apply and provide updated documents. The patient however will still be responsible to report any change in circumstances including but not limited to income, residence or family size. The hospital reserve</w:t>
      </w:r>
      <w:r w:rsidR="002A5F6D">
        <w:rPr>
          <w:sz w:val="21"/>
        </w:rPr>
        <w:t>s</w:t>
      </w:r>
      <w:r>
        <w:rPr>
          <w:sz w:val="21"/>
        </w:rPr>
        <w:t xml:space="preserve"> the rights to re-evaluate the eligibility of the patient </w:t>
      </w:r>
      <w:r w:rsidR="00831AE4">
        <w:rPr>
          <w:sz w:val="21"/>
        </w:rPr>
        <w:t xml:space="preserve">if relevant information </w:t>
      </w:r>
      <w:r w:rsidR="00831AE4">
        <w:rPr>
          <w:sz w:val="21"/>
        </w:rPr>
        <w:lastRenderedPageBreak/>
        <w:t>is obtained.</w:t>
      </w:r>
    </w:p>
    <w:p w:rsidR="004C1F9F" w:rsidRDefault="00E40A00" w:rsidP="004C1F9F">
      <w:pPr>
        <w:pStyle w:val="ListParagraph"/>
        <w:numPr>
          <w:ilvl w:val="0"/>
          <w:numId w:val="1"/>
        </w:numPr>
        <w:tabs>
          <w:tab w:val="left" w:pos="1336"/>
          <w:tab w:val="left" w:pos="1338"/>
        </w:tabs>
        <w:spacing w:before="178" w:line="268" w:lineRule="auto"/>
        <w:ind w:right="152" w:hanging="342"/>
        <w:rPr>
          <w:sz w:val="21"/>
        </w:rPr>
      </w:pPr>
      <w:r w:rsidRPr="00831AE4">
        <w:rPr>
          <w:b/>
          <w:color w:val="182D4A"/>
          <w:spacing w:val="-4"/>
          <w:sz w:val="21"/>
        </w:rPr>
        <w:t>Presumptive Financial Assistance Eligibility</w:t>
      </w:r>
      <w:r w:rsidR="00831AE4">
        <w:rPr>
          <w:b/>
          <w:color w:val="182D4A"/>
          <w:spacing w:val="-4"/>
          <w:sz w:val="21"/>
        </w:rPr>
        <w:t>:</w:t>
      </w:r>
      <w:r>
        <w:rPr>
          <w:color w:val="182D4A"/>
          <w:spacing w:val="-9"/>
          <w:sz w:val="21"/>
        </w:rPr>
        <w:t xml:space="preserve"> </w:t>
      </w:r>
      <w:r w:rsidRPr="00831AE4">
        <w:rPr>
          <w:sz w:val="21"/>
        </w:rPr>
        <w:t>There are</w:t>
      </w:r>
      <w:r w:rsidR="00376E9B">
        <w:rPr>
          <w:sz w:val="21"/>
        </w:rPr>
        <w:t xml:space="preserve"> </w:t>
      </w:r>
      <w:r w:rsidRPr="00831AE4">
        <w:rPr>
          <w:sz w:val="21"/>
        </w:rPr>
        <w:t xml:space="preserve">instances when a patient may </w:t>
      </w:r>
      <w:r w:rsidR="00831AE4">
        <w:rPr>
          <w:sz w:val="21"/>
        </w:rPr>
        <w:t>receive financial assistance</w:t>
      </w:r>
      <w:r w:rsidRPr="00831AE4">
        <w:rPr>
          <w:sz w:val="21"/>
        </w:rPr>
        <w:t>, but there is no</w:t>
      </w:r>
      <w:r w:rsidR="00376E9B">
        <w:rPr>
          <w:sz w:val="21"/>
        </w:rPr>
        <w:t>t a completed</w:t>
      </w:r>
      <w:r w:rsidRPr="00831AE4">
        <w:rPr>
          <w:sz w:val="21"/>
        </w:rPr>
        <w:t xml:space="preserve"> financial assistance form on file due to a lack of supporting documentation.</w:t>
      </w:r>
      <w:r w:rsidR="00376E9B">
        <w:rPr>
          <w:sz w:val="21"/>
        </w:rPr>
        <w:t xml:space="preserve"> </w:t>
      </w:r>
      <w:r w:rsidR="00C66F54">
        <w:rPr>
          <w:sz w:val="21"/>
        </w:rPr>
        <w:t>TBHC may utilize soft credit inquiries</w:t>
      </w:r>
      <w:r w:rsidR="00376E9B">
        <w:rPr>
          <w:sz w:val="21"/>
        </w:rPr>
        <w:t xml:space="preserve"> and other available information to determine eligibility</w:t>
      </w:r>
      <w:r w:rsidR="004C1F9F">
        <w:rPr>
          <w:sz w:val="21"/>
        </w:rPr>
        <w:t>.</w:t>
      </w:r>
    </w:p>
    <w:p w:rsidR="00DD56C0" w:rsidRPr="002C7D93" w:rsidRDefault="002C7D93" w:rsidP="002C7D93">
      <w:pPr>
        <w:pStyle w:val="ListParagraph"/>
        <w:numPr>
          <w:ilvl w:val="0"/>
          <w:numId w:val="1"/>
        </w:numPr>
        <w:tabs>
          <w:tab w:val="left" w:pos="1336"/>
          <w:tab w:val="left" w:pos="1338"/>
        </w:tabs>
        <w:spacing w:before="209" w:line="268" w:lineRule="auto"/>
        <w:ind w:right="231"/>
        <w:rPr>
          <w:sz w:val="21"/>
        </w:rPr>
      </w:pPr>
      <w:r w:rsidRPr="002C7D93">
        <w:rPr>
          <w:b/>
          <w:color w:val="182D4A"/>
          <w:sz w:val="21"/>
        </w:rPr>
        <w:t xml:space="preserve">Federal Poverty </w:t>
      </w:r>
      <w:r w:rsidR="00724959">
        <w:rPr>
          <w:b/>
          <w:color w:val="182D4A"/>
          <w:sz w:val="21"/>
        </w:rPr>
        <w:t>Levels</w:t>
      </w:r>
      <w:r w:rsidRPr="002C7D93">
        <w:rPr>
          <w:b/>
          <w:color w:val="182D4A"/>
          <w:sz w:val="21"/>
        </w:rPr>
        <w:t>:</w:t>
      </w:r>
      <w:r>
        <w:rPr>
          <w:color w:val="182D4A"/>
          <w:sz w:val="21"/>
        </w:rPr>
        <w:t xml:space="preserve"> TBHC will apply income eligibility guidelines for this policy on the Federal Poverty Levels (FPL) effective on the date of the application. These amounts can be found on </w:t>
      </w:r>
      <w:hyperlink r:id="rId9" w:history="1">
        <w:r w:rsidRPr="00F75459">
          <w:rPr>
            <w:rStyle w:val="Hyperlink"/>
            <w:sz w:val="21"/>
          </w:rPr>
          <w:t>https://aspe.hhs.gov/topics/poverty-economic-mobility/poverty-guidelines</w:t>
        </w:r>
      </w:hyperlink>
      <w:r>
        <w:rPr>
          <w:color w:val="182D4A"/>
          <w:sz w:val="21"/>
        </w:rPr>
        <w:t>. FPL</w:t>
      </w:r>
      <w:r w:rsidR="00724959">
        <w:rPr>
          <w:color w:val="182D4A"/>
          <w:sz w:val="21"/>
        </w:rPr>
        <w:t xml:space="preserve"> </w:t>
      </w:r>
      <w:r>
        <w:rPr>
          <w:color w:val="182D4A"/>
          <w:sz w:val="21"/>
        </w:rPr>
        <w:t xml:space="preserve">will be updated yearly. </w:t>
      </w:r>
      <w:r w:rsidR="00724959">
        <w:rPr>
          <w:color w:val="182D4A"/>
          <w:sz w:val="21"/>
        </w:rPr>
        <w:t xml:space="preserve">Below is sample </w:t>
      </w:r>
      <w:r>
        <w:rPr>
          <w:color w:val="182D4A"/>
          <w:sz w:val="21"/>
        </w:rPr>
        <w:t>2025 FPL chart.</w:t>
      </w:r>
    </w:p>
    <w:p w:rsidR="002C7D93" w:rsidRPr="002C7D93" w:rsidRDefault="002C7D93" w:rsidP="002C7D93">
      <w:pPr>
        <w:tabs>
          <w:tab w:val="left" w:pos="1336"/>
          <w:tab w:val="left" w:pos="1338"/>
        </w:tabs>
        <w:spacing w:before="209" w:line="268" w:lineRule="auto"/>
        <w:ind w:right="231"/>
        <w:rPr>
          <w:sz w:val="21"/>
        </w:rPr>
      </w:pPr>
      <w:r>
        <w:rPr>
          <w:sz w:val="21"/>
        </w:rPr>
        <w:tab/>
      </w:r>
      <w:r>
        <w:rPr>
          <w:sz w:val="21"/>
        </w:rPr>
        <w:tab/>
      </w:r>
      <w:r w:rsidR="00724959">
        <w:tab/>
      </w:r>
      <w:r w:rsidR="00724959">
        <w:tab/>
      </w:r>
      <w:r w:rsidR="00724959" w:rsidRPr="00724959">
        <w:rPr>
          <w:noProof/>
        </w:rPr>
        <w:drawing>
          <wp:inline distT="0" distB="0" distL="0" distR="0" wp14:anchorId="1C743656" wp14:editId="31552F8D">
            <wp:extent cx="3209925" cy="2781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2781300"/>
                    </a:xfrm>
                    <a:prstGeom prst="rect">
                      <a:avLst/>
                    </a:prstGeom>
                    <a:noFill/>
                    <a:ln>
                      <a:noFill/>
                    </a:ln>
                  </pic:spPr>
                </pic:pic>
              </a:graphicData>
            </a:graphic>
          </wp:inline>
        </w:drawing>
      </w:r>
    </w:p>
    <w:p w:rsidR="00DD56C0" w:rsidRDefault="00DD56C0">
      <w:pPr>
        <w:pStyle w:val="BodyText"/>
        <w:spacing w:before="26"/>
      </w:pPr>
    </w:p>
    <w:p w:rsidR="00DD56C0" w:rsidRDefault="00DD56C0">
      <w:pPr>
        <w:pStyle w:val="BodyText"/>
        <w:spacing w:before="111"/>
      </w:pPr>
    </w:p>
    <w:p w:rsidR="00A56F00" w:rsidRDefault="00A56F00" w:rsidP="00A56F00">
      <w:pPr>
        <w:pStyle w:val="BodyText"/>
        <w:numPr>
          <w:ilvl w:val="0"/>
          <w:numId w:val="1"/>
        </w:numPr>
        <w:spacing w:before="111"/>
      </w:pPr>
      <w:r w:rsidRPr="00A56F00">
        <w:rPr>
          <w:b/>
        </w:rPr>
        <w:t>Payment Deposits</w:t>
      </w:r>
      <w:r>
        <w:t>: Patients are not required to make payment deposits. Any deposit made by patient will be deducted from the patients discounted bill. If the patient qualifies for all charges to be waived a refund will be issued to patient.</w:t>
      </w:r>
    </w:p>
    <w:p w:rsidR="00A56F00" w:rsidRDefault="00A56F00" w:rsidP="00A56F00">
      <w:pPr>
        <w:pStyle w:val="BodyText"/>
        <w:numPr>
          <w:ilvl w:val="0"/>
          <w:numId w:val="1"/>
        </w:numPr>
        <w:spacing w:before="111"/>
      </w:pPr>
      <w:r>
        <w:rPr>
          <w:b/>
        </w:rPr>
        <w:t>Payment Plans</w:t>
      </w:r>
      <w:r w:rsidRPr="00A56F00">
        <w:t>:</w:t>
      </w:r>
      <w:r>
        <w:t xml:space="preserve"> </w:t>
      </w:r>
      <w:r w:rsidR="002A5F6D">
        <w:t xml:space="preserve">Requested </w:t>
      </w:r>
      <w:r>
        <w:t xml:space="preserve">Patient Payment Plans will not exceed 5% of patient’s income. </w:t>
      </w:r>
    </w:p>
    <w:p w:rsidR="003C4544" w:rsidRPr="003C4544" w:rsidRDefault="002A5F6D" w:rsidP="003C4544">
      <w:pPr>
        <w:pStyle w:val="ListParagraph"/>
        <w:numPr>
          <w:ilvl w:val="0"/>
          <w:numId w:val="1"/>
        </w:numPr>
        <w:tabs>
          <w:tab w:val="left" w:pos="1336"/>
          <w:tab w:val="left" w:pos="1338"/>
        </w:tabs>
        <w:spacing w:before="177" w:line="268" w:lineRule="auto"/>
        <w:ind w:right="119"/>
        <w:rPr>
          <w:sz w:val="21"/>
        </w:rPr>
      </w:pPr>
      <w:r w:rsidRPr="002A5F6D">
        <w:rPr>
          <w:b/>
          <w:color w:val="182D4A"/>
          <w:sz w:val="21"/>
        </w:rPr>
        <w:t>Communication of Financial Assistance Availability and Policy</w:t>
      </w:r>
      <w:r>
        <w:rPr>
          <w:color w:val="182D4A"/>
          <w:sz w:val="21"/>
        </w:rPr>
        <w:t xml:space="preserve">: TBHC </w:t>
      </w:r>
      <w:r w:rsidR="003C4544">
        <w:rPr>
          <w:color w:val="182D4A"/>
          <w:sz w:val="21"/>
        </w:rPr>
        <w:t xml:space="preserve">will publicize this Policy; on Hospital Website at </w:t>
      </w:r>
      <w:hyperlink r:id="rId11" w:history="1">
        <w:r w:rsidR="003C4544" w:rsidRPr="005F517B">
          <w:rPr>
            <w:rStyle w:val="Hyperlink"/>
            <w:sz w:val="21"/>
          </w:rPr>
          <w:t>https://www.tbh.org/visitor-information/billing/financial-assistance</w:t>
        </w:r>
      </w:hyperlink>
      <w:r w:rsidR="003C4544">
        <w:rPr>
          <w:color w:val="182D4A"/>
          <w:sz w:val="21"/>
        </w:rPr>
        <w:t xml:space="preserve"> along with the Financial Assistance application and the Plain Language Summary; offering notices via the registration/discharge process; posting signs in public areas such as waiting rooms, clinic areas, registration areas and other areas; notifying members of the community</w:t>
      </w:r>
      <w:r w:rsidR="00CE0ACA">
        <w:rPr>
          <w:color w:val="182D4A"/>
          <w:sz w:val="21"/>
        </w:rPr>
        <w:t xml:space="preserve"> served by TBHC, via notices on billing statements.</w:t>
      </w:r>
    </w:p>
    <w:p w:rsidR="00DD56C0" w:rsidRDefault="00E40A00">
      <w:pPr>
        <w:pStyle w:val="ListParagraph"/>
        <w:numPr>
          <w:ilvl w:val="0"/>
          <w:numId w:val="1"/>
        </w:numPr>
        <w:tabs>
          <w:tab w:val="left" w:pos="1336"/>
          <w:tab w:val="left" w:pos="1338"/>
        </w:tabs>
        <w:spacing w:before="98" w:line="268" w:lineRule="auto"/>
        <w:ind w:right="110" w:hanging="358"/>
        <w:rPr>
          <w:sz w:val="21"/>
        </w:rPr>
      </w:pPr>
      <w:r w:rsidRPr="00CE0ACA">
        <w:rPr>
          <w:b/>
          <w:color w:val="182D4A"/>
          <w:sz w:val="21"/>
        </w:rPr>
        <w:t>Relationship</w:t>
      </w:r>
      <w:r w:rsidRPr="00CE0ACA">
        <w:rPr>
          <w:b/>
          <w:color w:val="182D4A"/>
          <w:spacing w:val="-3"/>
          <w:sz w:val="21"/>
        </w:rPr>
        <w:t xml:space="preserve"> </w:t>
      </w:r>
      <w:r w:rsidRPr="00CE0ACA">
        <w:rPr>
          <w:b/>
          <w:color w:val="182D4A"/>
          <w:sz w:val="21"/>
        </w:rPr>
        <w:t>to</w:t>
      </w:r>
      <w:r w:rsidRPr="00CE0ACA">
        <w:rPr>
          <w:b/>
          <w:color w:val="182D4A"/>
          <w:spacing w:val="-3"/>
          <w:sz w:val="21"/>
        </w:rPr>
        <w:t xml:space="preserve"> </w:t>
      </w:r>
      <w:r w:rsidRPr="00CE0ACA">
        <w:rPr>
          <w:b/>
          <w:color w:val="182D4A"/>
          <w:sz w:val="21"/>
        </w:rPr>
        <w:t>Collection</w:t>
      </w:r>
      <w:r w:rsidRPr="00CE0ACA">
        <w:rPr>
          <w:b/>
          <w:color w:val="182D4A"/>
          <w:spacing w:val="-3"/>
          <w:sz w:val="21"/>
        </w:rPr>
        <w:t xml:space="preserve"> </w:t>
      </w:r>
      <w:r w:rsidRPr="00CE0ACA">
        <w:rPr>
          <w:b/>
          <w:color w:val="182D4A"/>
          <w:sz w:val="21"/>
        </w:rPr>
        <w:t>Policies</w:t>
      </w:r>
      <w:r w:rsidR="00CE0ACA">
        <w:rPr>
          <w:b/>
          <w:color w:val="182D4A"/>
          <w:sz w:val="21"/>
        </w:rPr>
        <w:t>:</w:t>
      </w:r>
      <w:r>
        <w:rPr>
          <w:color w:val="182D4A"/>
          <w:spacing w:val="-3"/>
          <w:sz w:val="21"/>
        </w:rPr>
        <w:t xml:space="preserve"> </w:t>
      </w:r>
      <w:r w:rsidR="00CE0ACA">
        <w:rPr>
          <w:color w:val="182D4A"/>
          <w:sz w:val="21"/>
        </w:rPr>
        <w:t>TBHC has</w:t>
      </w:r>
      <w:r>
        <w:rPr>
          <w:color w:val="182D4A"/>
          <w:spacing w:val="-3"/>
          <w:sz w:val="21"/>
        </w:rPr>
        <w:t xml:space="preserve"> </w:t>
      </w:r>
      <w:r>
        <w:rPr>
          <w:color w:val="182D4A"/>
          <w:sz w:val="21"/>
        </w:rPr>
        <w:t>developed</w:t>
      </w:r>
      <w:r>
        <w:rPr>
          <w:color w:val="182D4A"/>
          <w:spacing w:val="-3"/>
          <w:sz w:val="21"/>
        </w:rPr>
        <w:t xml:space="preserve"> </w:t>
      </w:r>
      <w:r>
        <w:rPr>
          <w:color w:val="182D4A"/>
          <w:sz w:val="21"/>
        </w:rPr>
        <w:t>procedures</w:t>
      </w:r>
      <w:r>
        <w:rPr>
          <w:color w:val="182D4A"/>
          <w:spacing w:val="-3"/>
          <w:sz w:val="21"/>
        </w:rPr>
        <w:t xml:space="preserve"> </w:t>
      </w:r>
      <w:r>
        <w:rPr>
          <w:color w:val="182D4A"/>
          <w:sz w:val="21"/>
        </w:rPr>
        <w:t>for</w:t>
      </w:r>
      <w:r>
        <w:rPr>
          <w:color w:val="182D4A"/>
          <w:spacing w:val="-3"/>
          <w:sz w:val="21"/>
        </w:rPr>
        <w:t xml:space="preserve"> </w:t>
      </w:r>
      <w:r>
        <w:rPr>
          <w:color w:val="182D4A"/>
          <w:sz w:val="21"/>
        </w:rPr>
        <w:t xml:space="preserve">internal </w:t>
      </w:r>
      <w:r>
        <w:rPr>
          <w:color w:val="182D4A"/>
          <w:spacing w:val="-4"/>
          <w:sz w:val="21"/>
        </w:rPr>
        <w:t>and</w:t>
      </w:r>
      <w:r>
        <w:rPr>
          <w:color w:val="182D4A"/>
          <w:spacing w:val="-9"/>
          <w:sz w:val="21"/>
        </w:rPr>
        <w:t xml:space="preserve"> </w:t>
      </w:r>
      <w:r>
        <w:rPr>
          <w:color w:val="182D4A"/>
          <w:spacing w:val="-4"/>
          <w:sz w:val="21"/>
        </w:rPr>
        <w:t>external</w:t>
      </w:r>
      <w:r>
        <w:rPr>
          <w:color w:val="182D4A"/>
          <w:spacing w:val="-9"/>
          <w:sz w:val="21"/>
        </w:rPr>
        <w:t xml:space="preserve"> </w:t>
      </w:r>
      <w:r>
        <w:rPr>
          <w:color w:val="182D4A"/>
          <w:spacing w:val="-4"/>
          <w:sz w:val="21"/>
        </w:rPr>
        <w:t>collection</w:t>
      </w:r>
      <w:r>
        <w:rPr>
          <w:color w:val="182D4A"/>
          <w:spacing w:val="-5"/>
          <w:sz w:val="21"/>
        </w:rPr>
        <w:t xml:space="preserve"> </w:t>
      </w:r>
      <w:r>
        <w:rPr>
          <w:color w:val="182D4A"/>
          <w:spacing w:val="-4"/>
          <w:sz w:val="21"/>
        </w:rPr>
        <w:t>practices</w:t>
      </w:r>
      <w:r>
        <w:rPr>
          <w:color w:val="182D4A"/>
          <w:spacing w:val="-9"/>
          <w:sz w:val="21"/>
        </w:rPr>
        <w:t xml:space="preserve"> </w:t>
      </w:r>
      <w:r>
        <w:rPr>
          <w:color w:val="182D4A"/>
          <w:spacing w:val="-4"/>
          <w:sz w:val="21"/>
        </w:rPr>
        <w:t>that</w:t>
      </w:r>
      <w:r>
        <w:rPr>
          <w:color w:val="182D4A"/>
          <w:spacing w:val="-9"/>
          <w:sz w:val="21"/>
        </w:rPr>
        <w:t xml:space="preserve"> </w:t>
      </w:r>
      <w:r>
        <w:rPr>
          <w:color w:val="182D4A"/>
          <w:spacing w:val="-4"/>
          <w:sz w:val="21"/>
        </w:rPr>
        <w:t>take</w:t>
      </w:r>
      <w:r>
        <w:rPr>
          <w:color w:val="182D4A"/>
          <w:spacing w:val="-9"/>
          <w:sz w:val="21"/>
        </w:rPr>
        <w:t xml:space="preserve"> </w:t>
      </w:r>
      <w:r>
        <w:rPr>
          <w:color w:val="182D4A"/>
          <w:spacing w:val="-4"/>
          <w:sz w:val="21"/>
        </w:rPr>
        <w:t>into</w:t>
      </w:r>
      <w:r>
        <w:rPr>
          <w:color w:val="182D4A"/>
          <w:spacing w:val="-9"/>
          <w:sz w:val="21"/>
        </w:rPr>
        <w:t xml:space="preserve"> </w:t>
      </w:r>
      <w:r>
        <w:rPr>
          <w:color w:val="182D4A"/>
          <w:spacing w:val="-4"/>
          <w:sz w:val="21"/>
        </w:rPr>
        <w:t>account</w:t>
      </w:r>
      <w:r>
        <w:rPr>
          <w:color w:val="182D4A"/>
          <w:spacing w:val="-9"/>
          <w:sz w:val="21"/>
        </w:rPr>
        <w:t xml:space="preserve"> </w:t>
      </w:r>
      <w:r>
        <w:rPr>
          <w:color w:val="182D4A"/>
          <w:spacing w:val="-4"/>
          <w:sz w:val="21"/>
        </w:rPr>
        <w:t>the</w:t>
      </w:r>
      <w:r>
        <w:rPr>
          <w:color w:val="182D4A"/>
          <w:spacing w:val="-9"/>
          <w:sz w:val="21"/>
        </w:rPr>
        <w:t xml:space="preserve"> </w:t>
      </w:r>
      <w:r>
        <w:rPr>
          <w:color w:val="182D4A"/>
          <w:spacing w:val="-4"/>
          <w:sz w:val="21"/>
        </w:rPr>
        <w:t>extent</w:t>
      </w:r>
      <w:r>
        <w:rPr>
          <w:color w:val="182D4A"/>
          <w:spacing w:val="-5"/>
          <w:sz w:val="21"/>
        </w:rPr>
        <w:t xml:space="preserve"> </w:t>
      </w:r>
      <w:r>
        <w:rPr>
          <w:color w:val="182D4A"/>
          <w:spacing w:val="-4"/>
          <w:sz w:val="21"/>
        </w:rPr>
        <w:t>to</w:t>
      </w:r>
      <w:r>
        <w:rPr>
          <w:color w:val="182D4A"/>
          <w:spacing w:val="-9"/>
          <w:sz w:val="21"/>
        </w:rPr>
        <w:t xml:space="preserve"> </w:t>
      </w:r>
      <w:r>
        <w:rPr>
          <w:color w:val="182D4A"/>
          <w:spacing w:val="-4"/>
          <w:sz w:val="21"/>
        </w:rPr>
        <w:t>which</w:t>
      </w:r>
      <w:r>
        <w:rPr>
          <w:color w:val="182D4A"/>
          <w:spacing w:val="-9"/>
          <w:sz w:val="21"/>
        </w:rPr>
        <w:t xml:space="preserve"> </w:t>
      </w:r>
      <w:r>
        <w:rPr>
          <w:color w:val="182D4A"/>
          <w:spacing w:val="-4"/>
          <w:sz w:val="21"/>
        </w:rPr>
        <w:t>the</w:t>
      </w:r>
      <w:r>
        <w:rPr>
          <w:color w:val="182D4A"/>
          <w:spacing w:val="-9"/>
          <w:sz w:val="21"/>
        </w:rPr>
        <w:t xml:space="preserve"> </w:t>
      </w:r>
      <w:r>
        <w:rPr>
          <w:color w:val="182D4A"/>
          <w:spacing w:val="-4"/>
          <w:sz w:val="21"/>
        </w:rPr>
        <w:t>patient</w:t>
      </w:r>
      <w:r>
        <w:rPr>
          <w:color w:val="182D4A"/>
          <w:spacing w:val="-5"/>
          <w:sz w:val="21"/>
        </w:rPr>
        <w:t xml:space="preserve"> </w:t>
      </w:r>
      <w:r>
        <w:rPr>
          <w:color w:val="182D4A"/>
          <w:spacing w:val="-4"/>
          <w:sz w:val="21"/>
        </w:rPr>
        <w:t xml:space="preserve">qualifies </w:t>
      </w:r>
      <w:r>
        <w:rPr>
          <w:color w:val="182D4A"/>
          <w:spacing w:val="-2"/>
          <w:sz w:val="21"/>
        </w:rPr>
        <w:t>for</w:t>
      </w:r>
      <w:r>
        <w:rPr>
          <w:color w:val="182D4A"/>
          <w:spacing w:val="-12"/>
          <w:sz w:val="21"/>
        </w:rPr>
        <w:t xml:space="preserve"> </w:t>
      </w:r>
      <w:r w:rsidR="00CE0ACA">
        <w:rPr>
          <w:color w:val="182D4A"/>
          <w:spacing w:val="-12"/>
          <w:sz w:val="21"/>
        </w:rPr>
        <w:t>Financial Assistance.</w:t>
      </w:r>
      <w:r w:rsidR="00CE0ACA">
        <w:rPr>
          <w:color w:val="182D4A"/>
          <w:spacing w:val="-2"/>
          <w:sz w:val="21"/>
        </w:rPr>
        <w:t xml:space="preserve"> </w:t>
      </w:r>
    </w:p>
    <w:p w:rsidR="00DD56C0" w:rsidRDefault="00E40A00">
      <w:pPr>
        <w:pStyle w:val="ListParagraph"/>
        <w:numPr>
          <w:ilvl w:val="0"/>
          <w:numId w:val="1"/>
        </w:numPr>
        <w:tabs>
          <w:tab w:val="left" w:pos="1336"/>
          <w:tab w:val="left" w:pos="1338"/>
        </w:tabs>
        <w:spacing w:before="101" w:line="268" w:lineRule="auto"/>
        <w:ind w:right="164" w:hanging="365"/>
        <w:rPr>
          <w:sz w:val="21"/>
        </w:rPr>
      </w:pPr>
      <w:r w:rsidRPr="00CE0ACA">
        <w:rPr>
          <w:b/>
          <w:color w:val="182D4A"/>
          <w:spacing w:val="-2"/>
          <w:sz w:val="21"/>
        </w:rPr>
        <w:t>Regulatory</w:t>
      </w:r>
      <w:r w:rsidRPr="00CE0ACA">
        <w:rPr>
          <w:b/>
          <w:color w:val="182D4A"/>
          <w:spacing w:val="-4"/>
          <w:sz w:val="21"/>
        </w:rPr>
        <w:t xml:space="preserve"> </w:t>
      </w:r>
      <w:r w:rsidR="00CE0ACA" w:rsidRPr="00CE0ACA">
        <w:rPr>
          <w:b/>
          <w:color w:val="182D4A"/>
          <w:spacing w:val="-2"/>
          <w:sz w:val="21"/>
        </w:rPr>
        <w:t>Requirements:</w:t>
      </w:r>
      <w:r>
        <w:rPr>
          <w:color w:val="182D4A"/>
          <w:spacing w:val="-4"/>
          <w:sz w:val="21"/>
        </w:rPr>
        <w:t xml:space="preserve"> </w:t>
      </w:r>
      <w:r>
        <w:rPr>
          <w:color w:val="182D4A"/>
          <w:spacing w:val="-2"/>
          <w:sz w:val="21"/>
        </w:rPr>
        <w:t>In</w:t>
      </w:r>
      <w:r>
        <w:rPr>
          <w:color w:val="182D4A"/>
          <w:spacing w:val="-4"/>
          <w:sz w:val="21"/>
        </w:rPr>
        <w:t xml:space="preserve"> </w:t>
      </w:r>
      <w:r>
        <w:rPr>
          <w:color w:val="182D4A"/>
          <w:spacing w:val="-2"/>
          <w:sz w:val="21"/>
        </w:rPr>
        <w:t>implementing this</w:t>
      </w:r>
      <w:r>
        <w:rPr>
          <w:color w:val="182D4A"/>
          <w:spacing w:val="-4"/>
          <w:sz w:val="21"/>
        </w:rPr>
        <w:t xml:space="preserve"> </w:t>
      </w:r>
      <w:r>
        <w:rPr>
          <w:color w:val="182D4A"/>
          <w:spacing w:val="-2"/>
          <w:sz w:val="21"/>
        </w:rPr>
        <w:t>Policy,</w:t>
      </w:r>
      <w:r>
        <w:rPr>
          <w:color w:val="182D4A"/>
          <w:spacing w:val="-4"/>
          <w:sz w:val="21"/>
        </w:rPr>
        <w:t xml:space="preserve"> </w:t>
      </w:r>
      <w:r>
        <w:rPr>
          <w:color w:val="182D4A"/>
          <w:spacing w:val="-2"/>
          <w:sz w:val="21"/>
        </w:rPr>
        <w:t>TBHC's</w:t>
      </w:r>
      <w:r>
        <w:rPr>
          <w:color w:val="182D4A"/>
          <w:spacing w:val="-4"/>
          <w:sz w:val="21"/>
        </w:rPr>
        <w:t xml:space="preserve"> </w:t>
      </w:r>
      <w:r>
        <w:rPr>
          <w:color w:val="182D4A"/>
          <w:spacing w:val="-2"/>
          <w:sz w:val="21"/>
        </w:rPr>
        <w:t>management</w:t>
      </w:r>
      <w:r>
        <w:rPr>
          <w:color w:val="182D4A"/>
          <w:spacing w:val="-4"/>
          <w:sz w:val="21"/>
        </w:rPr>
        <w:t xml:space="preserve"> </w:t>
      </w:r>
      <w:r>
        <w:rPr>
          <w:color w:val="182D4A"/>
          <w:spacing w:val="-2"/>
          <w:sz w:val="21"/>
        </w:rPr>
        <w:t>and facilities</w:t>
      </w:r>
      <w:r>
        <w:rPr>
          <w:color w:val="182D4A"/>
          <w:spacing w:val="-4"/>
          <w:sz w:val="21"/>
        </w:rPr>
        <w:t xml:space="preserve"> </w:t>
      </w:r>
      <w:r>
        <w:rPr>
          <w:color w:val="182D4A"/>
          <w:spacing w:val="-2"/>
          <w:sz w:val="21"/>
        </w:rPr>
        <w:t>shall comply</w:t>
      </w:r>
      <w:r>
        <w:rPr>
          <w:color w:val="182D4A"/>
          <w:spacing w:val="-12"/>
          <w:sz w:val="21"/>
        </w:rPr>
        <w:t xml:space="preserve"> </w:t>
      </w:r>
      <w:r>
        <w:rPr>
          <w:color w:val="182D4A"/>
          <w:spacing w:val="-2"/>
          <w:sz w:val="21"/>
        </w:rPr>
        <w:t>with</w:t>
      </w:r>
      <w:r>
        <w:rPr>
          <w:color w:val="182D4A"/>
          <w:spacing w:val="-13"/>
          <w:sz w:val="21"/>
        </w:rPr>
        <w:t xml:space="preserve"> </w:t>
      </w:r>
      <w:r>
        <w:rPr>
          <w:color w:val="182D4A"/>
          <w:spacing w:val="-2"/>
          <w:sz w:val="21"/>
        </w:rPr>
        <w:t>all</w:t>
      </w:r>
      <w:r>
        <w:rPr>
          <w:color w:val="182D4A"/>
          <w:spacing w:val="-12"/>
          <w:sz w:val="21"/>
        </w:rPr>
        <w:t xml:space="preserve"> </w:t>
      </w:r>
      <w:r>
        <w:rPr>
          <w:color w:val="182D4A"/>
          <w:spacing w:val="-2"/>
          <w:sz w:val="21"/>
        </w:rPr>
        <w:t>other</w:t>
      </w:r>
      <w:r>
        <w:rPr>
          <w:color w:val="182D4A"/>
          <w:spacing w:val="-11"/>
          <w:sz w:val="21"/>
        </w:rPr>
        <w:t xml:space="preserve"> </w:t>
      </w:r>
      <w:r>
        <w:rPr>
          <w:color w:val="182D4A"/>
          <w:spacing w:val="-2"/>
          <w:sz w:val="21"/>
        </w:rPr>
        <w:t>federal,</w:t>
      </w:r>
      <w:r>
        <w:rPr>
          <w:color w:val="182D4A"/>
          <w:spacing w:val="-12"/>
          <w:sz w:val="21"/>
        </w:rPr>
        <w:t xml:space="preserve"> </w:t>
      </w:r>
      <w:r>
        <w:rPr>
          <w:color w:val="182D4A"/>
          <w:spacing w:val="-2"/>
          <w:sz w:val="21"/>
        </w:rPr>
        <w:t>state,</w:t>
      </w:r>
      <w:r>
        <w:rPr>
          <w:color w:val="182D4A"/>
          <w:spacing w:val="-13"/>
          <w:sz w:val="21"/>
        </w:rPr>
        <w:t xml:space="preserve"> </w:t>
      </w:r>
      <w:r>
        <w:rPr>
          <w:color w:val="182D4A"/>
          <w:spacing w:val="-2"/>
          <w:sz w:val="21"/>
        </w:rPr>
        <w:t>and</w:t>
      </w:r>
      <w:r>
        <w:rPr>
          <w:color w:val="182D4A"/>
          <w:spacing w:val="-10"/>
          <w:sz w:val="21"/>
        </w:rPr>
        <w:t xml:space="preserve"> </w:t>
      </w:r>
      <w:r>
        <w:rPr>
          <w:color w:val="182D4A"/>
          <w:spacing w:val="-2"/>
          <w:sz w:val="21"/>
        </w:rPr>
        <w:t>local</w:t>
      </w:r>
      <w:r>
        <w:rPr>
          <w:color w:val="182D4A"/>
          <w:spacing w:val="-13"/>
          <w:sz w:val="21"/>
        </w:rPr>
        <w:t xml:space="preserve"> </w:t>
      </w:r>
      <w:r>
        <w:rPr>
          <w:color w:val="182D4A"/>
          <w:spacing w:val="-2"/>
          <w:sz w:val="21"/>
        </w:rPr>
        <w:t>laws,</w:t>
      </w:r>
      <w:r>
        <w:rPr>
          <w:color w:val="182D4A"/>
          <w:spacing w:val="-12"/>
          <w:sz w:val="21"/>
        </w:rPr>
        <w:t xml:space="preserve"> </w:t>
      </w:r>
      <w:r>
        <w:rPr>
          <w:color w:val="182D4A"/>
          <w:spacing w:val="-2"/>
          <w:sz w:val="21"/>
        </w:rPr>
        <w:t>rules,</w:t>
      </w:r>
      <w:r>
        <w:rPr>
          <w:color w:val="182D4A"/>
          <w:spacing w:val="-11"/>
          <w:sz w:val="21"/>
        </w:rPr>
        <w:t xml:space="preserve"> </w:t>
      </w:r>
      <w:r>
        <w:rPr>
          <w:color w:val="182D4A"/>
          <w:spacing w:val="-2"/>
          <w:sz w:val="21"/>
        </w:rPr>
        <w:t>and</w:t>
      </w:r>
      <w:r>
        <w:rPr>
          <w:color w:val="182D4A"/>
          <w:spacing w:val="-12"/>
          <w:sz w:val="21"/>
        </w:rPr>
        <w:t xml:space="preserve"> </w:t>
      </w:r>
      <w:r>
        <w:rPr>
          <w:color w:val="182D4A"/>
          <w:spacing w:val="-2"/>
          <w:sz w:val="21"/>
        </w:rPr>
        <w:t>regulations</w:t>
      </w:r>
      <w:r>
        <w:rPr>
          <w:color w:val="182D4A"/>
          <w:spacing w:val="-13"/>
          <w:sz w:val="21"/>
        </w:rPr>
        <w:t xml:space="preserve"> </w:t>
      </w:r>
      <w:r>
        <w:rPr>
          <w:color w:val="182D4A"/>
          <w:spacing w:val="-2"/>
          <w:sz w:val="21"/>
        </w:rPr>
        <w:t>that</w:t>
      </w:r>
      <w:r>
        <w:rPr>
          <w:color w:val="182D4A"/>
          <w:spacing w:val="-10"/>
          <w:sz w:val="21"/>
        </w:rPr>
        <w:t xml:space="preserve"> </w:t>
      </w:r>
      <w:r>
        <w:rPr>
          <w:color w:val="182D4A"/>
          <w:spacing w:val="-2"/>
          <w:sz w:val="21"/>
        </w:rPr>
        <w:t>may</w:t>
      </w:r>
      <w:r>
        <w:rPr>
          <w:color w:val="182D4A"/>
          <w:spacing w:val="-13"/>
          <w:sz w:val="21"/>
        </w:rPr>
        <w:t xml:space="preserve"> </w:t>
      </w:r>
      <w:r>
        <w:rPr>
          <w:color w:val="182D4A"/>
          <w:spacing w:val="-2"/>
          <w:sz w:val="21"/>
        </w:rPr>
        <w:t>apply</w:t>
      </w:r>
      <w:r>
        <w:rPr>
          <w:color w:val="182D4A"/>
          <w:spacing w:val="-12"/>
          <w:sz w:val="21"/>
        </w:rPr>
        <w:t xml:space="preserve"> </w:t>
      </w:r>
      <w:r>
        <w:rPr>
          <w:color w:val="182D4A"/>
          <w:spacing w:val="-2"/>
          <w:sz w:val="21"/>
        </w:rPr>
        <w:t xml:space="preserve">to </w:t>
      </w:r>
      <w:r>
        <w:rPr>
          <w:color w:val="182D4A"/>
          <w:sz w:val="21"/>
        </w:rPr>
        <w:t>activities conducted pursuant to this Policy.</w:t>
      </w:r>
    </w:p>
    <w:p w:rsidR="00DD56C0" w:rsidRDefault="00DD56C0">
      <w:pPr>
        <w:spacing w:line="268" w:lineRule="auto"/>
        <w:rPr>
          <w:sz w:val="21"/>
        </w:rPr>
        <w:sectPr w:rsidR="00DD56C0">
          <w:footerReference w:type="default" r:id="rId12"/>
          <w:pgSz w:w="12240" w:h="15840"/>
          <w:pgMar w:top="1300" w:right="940" w:bottom="940" w:left="1060" w:header="0" w:footer="759" w:gutter="0"/>
          <w:cols w:space="720"/>
        </w:sectPr>
      </w:pPr>
    </w:p>
    <w:p w:rsidR="00DD56C0" w:rsidRDefault="00DD56C0" w:rsidP="00F0509C">
      <w:pPr>
        <w:ind w:left="917"/>
        <w:rPr>
          <w:rFonts w:ascii="Arial"/>
          <w:sz w:val="292"/>
        </w:rPr>
      </w:pPr>
      <w:bookmarkStart w:id="6" w:name="Approval_Signatures"/>
      <w:bookmarkEnd w:id="6"/>
    </w:p>
    <w:sectPr w:rsidR="00DD56C0">
      <w:pgSz w:w="12240" w:h="15840"/>
      <w:pgMar w:top="1200" w:right="940" w:bottom="940" w:left="106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06" w:rsidRDefault="00E40A00">
      <w:r>
        <w:separator/>
      </w:r>
    </w:p>
  </w:endnote>
  <w:endnote w:type="continuationSeparator" w:id="0">
    <w:p w:rsidR="00030606" w:rsidRDefault="00E4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C0" w:rsidRDefault="00E40A00">
    <w:pPr>
      <w:pStyle w:val="BodyText"/>
      <w:spacing w:line="14" w:lineRule="auto"/>
      <w:rPr>
        <w:sz w:val="20"/>
      </w:rPr>
    </w:pPr>
    <w:r>
      <w:rPr>
        <w:noProof/>
      </w:rPr>
      <mc:AlternateContent>
        <mc:Choice Requires="wps">
          <w:drawing>
            <wp:anchor distT="0" distB="0" distL="0" distR="0" simplePos="0" relativeHeight="251657216" behindDoc="1" locked="0" layoutInCell="1" allowOverlap="1">
              <wp:simplePos x="0" y="0"/>
              <wp:positionH relativeFrom="page">
                <wp:posOffset>745100</wp:posOffset>
              </wp:positionH>
              <wp:positionV relativeFrom="page">
                <wp:posOffset>9436896</wp:posOffset>
              </wp:positionV>
              <wp:extent cx="5491480" cy="2749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1480" cy="274955"/>
                      </a:xfrm>
                      <a:prstGeom prst="rect">
                        <a:avLst/>
                      </a:prstGeom>
                    </wps:spPr>
                    <wps:txbx>
                      <w:txbxContent>
                        <w:p w:rsidR="00DD56C0" w:rsidRDefault="00DD56C0">
                          <w:pPr>
                            <w:spacing w:before="12" w:line="249" w:lineRule="auto"/>
                            <w:ind w:left="20" w:right="18"/>
                            <w:rPr>
                              <w:rFonts w:ascii="Times New Roman" w:hAnsi="Times New Roman"/>
                              <w:sz w:val="17"/>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8.65pt;margin-top:743.05pt;width:432.4pt;height:21.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" filled="f" stroked="f">
              <v:path arrowok="t"/>
              <v:textbox inset="0,0,0,0">
                <w:txbxContent>
                  <w:p w:rsidR="00DD56C0" w:rsidRDefault="00DD56C0">
                    <w:pPr>
                      <w:spacing w:before="12" w:line="249" w:lineRule="auto"/>
                      <w:ind w:left="20" w:right="18"/>
                      <w:rPr>
                        <w:rFonts w:ascii="Times New Roman" w:hAnsi="Times New Roman"/>
                        <w:sz w:val="17"/>
                      </w:rPr>
                    </w:pP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6426989</wp:posOffset>
              </wp:positionH>
              <wp:positionV relativeFrom="page">
                <wp:posOffset>9437778</wp:posOffset>
              </wp:positionV>
              <wp:extent cx="60007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66370"/>
                      </a:xfrm>
                      <a:prstGeom prst="rect">
                        <a:avLst/>
                      </a:prstGeom>
                    </wps:spPr>
                    <wps:txbx>
                      <w:txbxContent>
                        <w:p w:rsidR="00DD56C0" w:rsidRDefault="00E40A00">
                          <w:pPr>
                            <w:spacing w:before="11"/>
                            <w:ind w:left="20"/>
                            <w:rPr>
                              <w:rFonts w:ascii="Times New Roman"/>
                              <w:sz w:val="20"/>
                            </w:rPr>
                          </w:pPr>
                          <w:r>
                            <w:rPr>
                              <w:rFonts w:ascii="Times New Roman"/>
                              <w:sz w:val="20"/>
                            </w:rPr>
                            <w:t>Page</w:t>
                          </w:r>
                          <w:r>
                            <w:rPr>
                              <w:rFonts w:ascii="Times New Roman"/>
                              <w:spacing w:val="-2"/>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F0509C">
                            <w:rPr>
                              <w:rFonts w:ascii="Times New Roman"/>
                              <w:noProof/>
                              <w:sz w:val="20"/>
                            </w:rPr>
                            <w:t>1</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sidR="00F0509C">
                            <w:rPr>
                              <w:rFonts w:ascii="Times New Roman"/>
                              <w:noProof/>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06.05pt;margin-top:743.15pt;width:47.25pt;height:13.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" filled="f" stroked="f">
              <v:path arrowok="t"/>
              <v:textbox inset="0,0,0,0">
                <w:txbxContent>
                  <w:p w:rsidR="00DD56C0" w:rsidRDefault="00E40A00">
                    <w:pPr>
                      <w:spacing w:before="11"/>
                      <w:ind w:left="20"/>
                      <w:rPr>
                        <w:rFonts w:ascii="Times New Roman"/>
                        <w:sz w:val="20"/>
                      </w:rPr>
                    </w:pPr>
                    <w:r>
                      <w:rPr>
                        <w:rFonts w:ascii="Times New Roman"/>
                        <w:sz w:val="20"/>
                      </w:rPr>
                      <w:t>Page</w:t>
                    </w:r>
                    <w:r>
                      <w:rPr>
                        <w:rFonts w:ascii="Times New Roman"/>
                        <w:spacing w:val="-2"/>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F0509C">
                      <w:rPr>
                        <w:rFonts w:ascii="Times New Roman"/>
                        <w:noProof/>
                        <w:sz w:val="20"/>
                      </w:rPr>
                      <w:t>1</w:t>
                    </w:r>
                    <w:r>
                      <w:rPr>
                        <w:rFonts w:ascii="Times New Roman"/>
                        <w:sz w:val="20"/>
                      </w:rPr>
                      <w:fldChar w:fldCharType="end"/>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sidR="00F0509C">
                      <w:rPr>
                        <w:rFonts w:ascii="Times New Roman"/>
                        <w:noProof/>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06" w:rsidRDefault="00E40A00">
      <w:r>
        <w:separator/>
      </w:r>
    </w:p>
  </w:footnote>
  <w:footnote w:type="continuationSeparator" w:id="0">
    <w:p w:rsidR="00030606" w:rsidRDefault="00E4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72CD"/>
    <w:multiLevelType w:val="hybridMultilevel"/>
    <w:tmpl w:val="F6AEFF7E"/>
    <w:lvl w:ilvl="0" w:tplc="37CA9C60">
      <w:start w:val="1"/>
      <w:numFmt w:val="upperLetter"/>
      <w:lvlText w:val="%1."/>
      <w:lvlJc w:val="left"/>
      <w:pPr>
        <w:ind w:left="1338" w:hanging="352"/>
        <w:jc w:val="left"/>
      </w:pPr>
      <w:rPr>
        <w:rFonts w:ascii="Trebuchet MS" w:eastAsia="Trebuchet MS" w:hAnsi="Trebuchet MS" w:cs="Trebuchet MS" w:hint="default"/>
        <w:b w:val="0"/>
        <w:bCs w:val="0"/>
        <w:i w:val="0"/>
        <w:iCs w:val="0"/>
        <w:color w:val="182D4A"/>
        <w:spacing w:val="-1"/>
        <w:w w:val="95"/>
        <w:sz w:val="21"/>
        <w:szCs w:val="21"/>
        <w:lang w:val="en-US" w:eastAsia="en-US" w:bidi="ar-SA"/>
      </w:rPr>
    </w:lvl>
    <w:lvl w:ilvl="1" w:tplc="AA5C21CA">
      <w:start w:val="1"/>
      <w:numFmt w:val="decimal"/>
      <w:lvlText w:val="%2."/>
      <w:lvlJc w:val="left"/>
      <w:pPr>
        <w:ind w:left="2266" w:hanging="333"/>
        <w:jc w:val="left"/>
      </w:pPr>
      <w:rPr>
        <w:rFonts w:ascii="Trebuchet MS" w:eastAsia="Trebuchet MS" w:hAnsi="Trebuchet MS" w:cs="Trebuchet MS" w:hint="default"/>
        <w:b w:val="0"/>
        <w:bCs w:val="0"/>
        <w:i w:val="0"/>
        <w:iCs w:val="0"/>
        <w:color w:val="182D4A"/>
        <w:spacing w:val="-1"/>
        <w:w w:val="92"/>
        <w:sz w:val="21"/>
        <w:szCs w:val="21"/>
        <w:lang w:val="en-US" w:eastAsia="en-US" w:bidi="ar-SA"/>
      </w:rPr>
    </w:lvl>
    <w:lvl w:ilvl="2" w:tplc="B83C6910">
      <w:start w:val="1"/>
      <w:numFmt w:val="lowerLetter"/>
      <w:lvlText w:val="%3."/>
      <w:lvlJc w:val="left"/>
      <w:pPr>
        <w:ind w:left="3195" w:hanging="329"/>
        <w:jc w:val="left"/>
      </w:pPr>
      <w:rPr>
        <w:rFonts w:ascii="Trebuchet MS" w:eastAsia="Trebuchet MS" w:hAnsi="Trebuchet MS" w:cs="Trebuchet MS" w:hint="default"/>
        <w:b w:val="0"/>
        <w:bCs w:val="0"/>
        <w:i w:val="0"/>
        <w:iCs w:val="0"/>
        <w:color w:val="182D4A"/>
        <w:spacing w:val="-1"/>
        <w:w w:val="90"/>
        <w:sz w:val="21"/>
        <w:szCs w:val="21"/>
        <w:lang w:val="en-US" w:eastAsia="en-US" w:bidi="ar-SA"/>
      </w:rPr>
    </w:lvl>
    <w:lvl w:ilvl="3" w:tplc="FC002506">
      <w:numFmt w:val="bullet"/>
      <w:lvlText w:val="•"/>
      <w:lvlJc w:val="left"/>
      <w:pPr>
        <w:ind w:left="4080" w:hanging="329"/>
      </w:pPr>
      <w:rPr>
        <w:rFonts w:hint="default"/>
        <w:lang w:val="en-US" w:eastAsia="en-US" w:bidi="ar-SA"/>
      </w:rPr>
    </w:lvl>
    <w:lvl w:ilvl="4" w:tplc="CB6A1DA0">
      <w:numFmt w:val="bullet"/>
      <w:lvlText w:val="•"/>
      <w:lvlJc w:val="left"/>
      <w:pPr>
        <w:ind w:left="4960" w:hanging="329"/>
      </w:pPr>
      <w:rPr>
        <w:rFonts w:hint="default"/>
        <w:lang w:val="en-US" w:eastAsia="en-US" w:bidi="ar-SA"/>
      </w:rPr>
    </w:lvl>
    <w:lvl w:ilvl="5" w:tplc="01E06FEC">
      <w:numFmt w:val="bullet"/>
      <w:lvlText w:val="•"/>
      <w:lvlJc w:val="left"/>
      <w:pPr>
        <w:ind w:left="5840" w:hanging="329"/>
      </w:pPr>
      <w:rPr>
        <w:rFonts w:hint="default"/>
        <w:lang w:val="en-US" w:eastAsia="en-US" w:bidi="ar-SA"/>
      </w:rPr>
    </w:lvl>
    <w:lvl w:ilvl="6" w:tplc="511AA80A">
      <w:numFmt w:val="bullet"/>
      <w:lvlText w:val="•"/>
      <w:lvlJc w:val="left"/>
      <w:pPr>
        <w:ind w:left="6720" w:hanging="329"/>
      </w:pPr>
      <w:rPr>
        <w:rFonts w:hint="default"/>
        <w:lang w:val="en-US" w:eastAsia="en-US" w:bidi="ar-SA"/>
      </w:rPr>
    </w:lvl>
    <w:lvl w:ilvl="7" w:tplc="1AA0DE86">
      <w:numFmt w:val="bullet"/>
      <w:lvlText w:val="•"/>
      <w:lvlJc w:val="left"/>
      <w:pPr>
        <w:ind w:left="7600" w:hanging="329"/>
      </w:pPr>
      <w:rPr>
        <w:rFonts w:hint="default"/>
        <w:lang w:val="en-US" w:eastAsia="en-US" w:bidi="ar-SA"/>
      </w:rPr>
    </w:lvl>
    <w:lvl w:ilvl="8" w:tplc="6776ACE2">
      <w:numFmt w:val="bullet"/>
      <w:lvlText w:val="•"/>
      <w:lvlJc w:val="left"/>
      <w:pPr>
        <w:ind w:left="8480" w:hanging="329"/>
      </w:pPr>
      <w:rPr>
        <w:rFonts w:hint="default"/>
        <w:lang w:val="en-US" w:eastAsia="en-US" w:bidi="ar-SA"/>
      </w:rPr>
    </w:lvl>
  </w:abstractNum>
  <w:abstractNum w:abstractNumId="1" w15:restartNumberingAfterBreak="0">
    <w:nsid w:val="70815AB4"/>
    <w:multiLevelType w:val="hybridMultilevel"/>
    <w:tmpl w:val="096A7718"/>
    <w:lvl w:ilvl="0" w:tplc="50B80E5A">
      <w:start w:val="1"/>
      <w:numFmt w:val="upperRoman"/>
      <w:lvlText w:val="%1."/>
      <w:lvlJc w:val="left"/>
      <w:pPr>
        <w:ind w:left="782" w:hanging="374"/>
        <w:jc w:val="left"/>
      </w:pPr>
      <w:rPr>
        <w:rFonts w:ascii="Trebuchet MS" w:eastAsia="Trebuchet MS" w:hAnsi="Trebuchet MS" w:cs="Trebuchet MS" w:hint="default"/>
        <w:b/>
        <w:bCs/>
        <w:i w:val="0"/>
        <w:iCs w:val="0"/>
        <w:color w:val="182D4A"/>
        <w:spacing w:val="-1"/>
        <w:w w:val="90"/>
        <w:sz w:val="45"/>
        <w:szCs w:val="45"/>
        <w:lang w:val="en-US" w:eastAsia="en-US" w:bidi="ar-SA"/>
      </w:rPr>
    </w:lvl>
    <w:lvl w:ilvl="1" w:tplc="15D030CC">
      <w:numFmt w:val="bullet"/>
      <w:lvlText w:val="•"/>
      <w:lvlJc w:val="left"/>
      <w:pPr>
        <w:ind w:left="1338" w:hanging="231"/>
      </w:pPr>
      <w:rPr>
        <w:rFonts w:ascii="Trebuchet MS" w:eastAsia="Trebuchet MS" w:hAnsi="Trebuchet MS" w:cs="Trebuchet MS" w:hint="default"/>
        <w:b w:val="0"/>
        <w:bCs w:val="0"/>
        <w:i w:val="0"/>
        <w:iCs w:val="0"/>
        <w:color w:val="182D4A"/>
        <w:spacing w:val="0"/>
        <w:w w:val="64"/>
        <w:sz w:val="21"/>
        <w:szCs w:val="21"/>
        <w:lang w:val="en-US" w:eastAsia="en-US" w:bidi="ar-SA"/>
      </w:rPr>
    </w:lvl>
    <w:lvl w:ilvl="2" w:tplc="5BBE1920">
      <w:numFmt w:val="bullet"/>
      <w:lvlText w:val="•"/>
      <w:lvlJc w:val="left"/>
      <w:pPr>
        <w:ind w:left="2328" w:hanging="231"/>
      </w:pPr>
      <w:rPr>
        <w:rFonts w:hint="default"/>
        <w:lang w:val="en-US" w:eastAsia="en-US" w:bidi="ar-SA"/>
      </w:rPr>
    </w:lvl>
    <w:lvl w:ilvl="3" w:tplc="2910C866">
      <w:numFmt w:val="bullet"/>
      <w:lvlText w:val="•"/>
      <w:lvlJc w:val="left"/>
      <w:pPr>
        <w:ind w:left="3317" w:hanging="231"/>
      </w:pPr>
      <w:rPr>
        <w:rFonts w:hint="default"/>
        <w:lang w:val="en-US" w:eastAsia="en-US" w:bidi="ar-SA"/>
      </w:rPr>
    </w:lvl>
    <w:lvl w:ilvl="4" w:tplc="8E3C2E8A">
      <w:numFmt w:val="bullet"/>
      <w:lvlText w:val="•"/>
      <w:lvlJc w:val="left"/>
      <w:pPr>
        <w:ind w:left="4306" w:hanging="231"/>
      </w:pPr>
      <w:rPr>
        <w:rFonts w:hint="default"/>
        <w:lang w:val="en-US" w:eastAsia="en-US" w:bidi="ar-SA"/>
      </w:rPr>
    </w:lvl>
    <w:lvl w:ilvl="5" w:tplc="C5B40C50">
      <w:numFmt w:val="bullet"/>
      <w:lvlText w:val="•"/>
      <w:lvlJc w:val="left"/>
      <w:pPr>
        <w:ind w:left="5295" w:hanging="231"/>
      </w:pPr>
      <w:rPr>
        <w:rFonts w:hint="default"/>
        <w:lang w:val="en-US" w:eastAsia="en-US" w:bidi="ar-SA"/>
      </w:rPr>
    </w:lvl>
    <w:lvl w:ilvl="6" w:tplc="9FFCFBEC">
      <w:numFmt w:val="bullet"/>
      <w:lvlText w:val="•"/>
      <w:lvlJc w:val="left"/>
      <w:pPr>
        <w:ind w:left="6284" w:hanging="231"/>
      </w:pPr>
      <w:rPr>
        <w:rFonts w:hint="default"/>
        <w:lang w:val="en-US" w:eastAsia="en-US" w:bidi="ar-SA"/>
      </w:rPr>
    </w:lvl>
    <w:lvl w:ilvl="7" w:tplc="3F3A1ED4">
      <w:numFmt w:val="bullet"/>
      <w:lvlText w:val="•"/>
      <w:lvlJc w:val="left"/>
      <w:pPr>
        <w:ind w:left="7273" w:hanging="231"/>
      </w:pPr>
      <w:rPr>
        <w:rFonts w:hint="default"/>
        <w:lang w:val="en-US" w:eastAsia="en-US" w:bidi="ar-SA"/>
      </w:rPr>
    </w:lvl>
    <w:lvl w:ilvl="8" w:tplc="13DAE216">
      <w:numFmt w:val="bullet"/>
      <w:lvlText w:val="•"/>
      <w:lvlJc w:val="left"/>
      <w:pPr>
        <w:ind w:left="8262" w:hanging="23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D56C0"/>
    <w:rsid w:val="00030606"/>
    <w:rsid w:val="001D18C0"/>
    <w:rsid w:val="002017DA"/>
    <w:rsid w:val="002467D7"/>
    <w:rsid w:val="002A5F6D"/>
    <w:rsid w:val="002C7D93"/>
    <w:rsid w:val="00336A34"/>
    <w:rsid w:val="00376E9B"/>
    <w:rsid w:val="003C4544"/>
    <w:rsid w:val="003E2D96"/>
    <w:rsid w:val="00464682"/>
    <w:rsid w:val="004B6023"/>
    <w:rsid w:val="004C1F9F"/>
    <w:rsid w:val="006D5B43"/>
    <w:rsid w:val="00724959"/>
    <w:rsid w:val="00742B2A"/>
    <w:rsid w:val="00810A71"/>
    <w:rsid w:val="00831AE4"/>
    <w:rsid w:val="008B7FD1"/>
    <w:rsid w:val="008F460D"/>
    <w:rsid w:val="00A56F00"/>
    <w:rsid w:val="00A81011"/>
    <w:rsid w:val="00B35AE0"/>
    <w:rsid w:val="00C20A7C"/>
    <w:rsid w:val="00C44333"/>
    <w:rsid w:val="00C66F54"/>
    <w:rsid w:val="00CE0ACA"/>
    <w:rsid w:val="00DC4FB2"/>
    <w:rsid w:val="00DD56C0"/>
    <w:rsid w:val="00E40A00"/>
    <w:rsid w:val="00F0509C"/>
    <w:rsid w:val="00F21FA2"/>
    <w:rsid w:val="00FB34D0"/>
    <w:rsid w:val="00FB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32AF2"/>
  <w15:docId w15:val="{9B8A2853-4D5F-46C1-B01C-41CEB670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
      <w:ind w:left="409"/>
      <w:outlineLvl w:val="0"/>
    </w:pPr>
    <w:rPr>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3"/>
      <w:ind w:left="2266" w:hanging="333"/>
    </w:pPr>
  </w:style>
  <w:style w:type="paragraph" w:customStyle="1" w:styleId="TableParagraph">
    <w:name w:val="Table Paragraph"/>
    <w:basedOn w:val="Normal"/>
    <w:uiPriority w:val="1"/>
    <w:qFormat/>
    <w:pPr>
      <w:spacing w:before="39"/>
    </w:pPr>
  </w:style>
  <w:style w:type="paragraph" w:styleId="Header">
    <w:name w:val="header"/>
    <w:basedOn w:val="Normal"/>
    <w:link w:val="HeaderChar"/>
    <w:uiPriority w:val="99"/>
    <w:unhideWhenUsed/>
    <w:rsid w:val="002467D7"/>
    <w:pPr>
      <w:tabs>
        <w:tab w:val="center" w:pos="4680"/>
        <w:tab w:val="right" w:pos="9360"/>
      </w:tabs>
    </w:pPr>
  </w:style>
  <w:style w:type="character" w:customStyle="1" w:styleId="HeaderChar">
    <w:name w:val="Header Char"/>
    <w:basedOn w:val="DefaultParagraphFont"/>
    <w:link w:val="Header"/>
    <w:uiPriority w:val="99"/>
    <w:rsid w:val="002467D7"/>
    <w:rPr>
      <w:rFonts w:ascii="Trebuchet MS" w:eastAsia="Trebuchet MS" w:hAnsi="Trebuchet MS" w:cs="Trebuchet MS"/>
    </w:rPr>
  </w:style>
  <w:style w:type="paragraph" w:styleId="Footer">
    <w:name w:val="footer"/>
    <w:basedOn w:val="Normal"/>
    <w:link w:val="FooterChar"/>
    <w:uiPriority w:val="99"/>
    <w:unhideWhenUsed/>
    <w:rsid w:val="002467D7"/>
    <w:pPr>
      <w:tabs>
        <w:tab w:val="center" w:pos="4680"/>
        <w:tab w:val="right" w:pos="9360"/>
      </w:tabs>
    </w:pPr>
  </w:style>
  <w:style w:type="character" w:customStyle="1" w:styleId="FooterChar">
    <w:name w:val="Footer Char"/>
    <w:basedOn w:val="DefaultParagraphFont"/>
    <w:link w:val="Footer"/>
    <w:uiPriority w:val="99"/>
    <w:rsid w:val="002467D7"/>
    <w:rPr>
      <w:rFonts w:ascii="Trebuchet MS" w:eastAsia="Trebuchet MS" w:hAnsi="Trebuchet MS" w:cs="Trebuchet MS"/>
    </w:rPr>
  </w:style>
  <w:style w:type="character" w:styleId="Hyperlink">
    <w:name w:val="Hyperlink"/>
    <w:basedOn w:val="DefaultParagraphFont"/>
    <w:uiPriority w:val="99"/>
    <w:unhideWhenUsed/>
    <w:rsid w:val="002C7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1-800-804-54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518-402-699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bh.org/visitor-information/billing/financial-assistance"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aspe.hhs.gov/topics/poverty-economic-mobility/poverty-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Financial Assistance, C-210</vt:lpstr>
    </vt:vector>
  </TitlesOfParts>
  <Company>PB01IT01VDI</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C-210</dc:title>
  <dc:subject>The Brooklyn Hospital Center</dc:subject>
  <dc:creator>Ferreras, Nelson: Vice President</dc:creator>
  <cp:lastModifiedBy>Ferreras, Nelson</cp:lastModifiedBy>
  <cp:revision>6</cp:revision>
  <dcterms:created xsi:type="dcterms:W3CDTF">2025-07-14T18:07:00Z</dcterms:created>
  <dcterms:modified xsi:type="dcterms:W3CDTF">2025-07-24T14:47:00Z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PolicyStat</vt:lpwstr>
  </property>
  <property fmtid="{D5CDD505-2E9C-101B-9397-08002B2CF9AE}" pid="3" name="Producer">
    <vt:lpwstr>Prince 12.5.1 (www.princexml.com)</vt:lpwstr>
  </property>
</Properties>
</file>