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D2A927" w14:textId="77777777" w:rsidR="00DD56C0" w:rsidRDefault="00E40A00" w:rsidP="00F0509C">
      <w:pPr>
        <w:ind w:left="2160" w:right="118" w:firstLine="720"/>
        <w:rPr>
          <w:b/>
          <w:sz w:val="36"/>
        </w:rPr>
      </w:pPr>
      <w:bookmarkStart w:id="0" w:name="Financial_Assistance,_C-210"/>
      <w:bookmarkEnd w:id="0"/>
      <w:r>
        <w:rPr>
          <w:b/>
          <w:spacing w:val="-4"/>
          <w:sz w:val="36"/>
        </w:rPr>
        <w:t>Financial</w:t>
      </w:r>
      <w:r>
        <w:rPr>
          <w:b/>
          <w:spacing w:val="-24"/>
          <w:sz w:val="36"/>
        </w:rPr>
        <w:t xml:space="preserve"> </w:t>
      </w:r>
      <w:r>
        <w:rPr>
          <w:b/>
          <w:spacing w:val="-4"/>
          <w:sz w:val="36"/>
        </w:rPr>
        <w:t>Assistance,</w:t>
      </w:r>
      <w:r>
        <w:rPr>
          <w:b/>
          <w:spacing w:val="-21"/>
          <w:sz w:val="36"/>
        </w:rPr>
        <w:t xml:space="preserve"> </w:t>
      </w:r>
      <w:r>
        <w:rPr>
          <w:b/>
          <w:spacing w:val="-4"/>
          <w:sz w:val="36"/>
        </w:rPr>
        <w:t>C-</w:t>
      </w:r>
      <w:r>
        <w:rPr>
          <w:b/>
          <w:spacing w:val="-5"/>
          <w:sz w:val="36"/>
        </w:rPr>
        <w:t>210</w:t>
      </w:r>
    </w:p>
    <w:p w14:paraId="61B01E46" w14:textId="77777777" w:rsidR="00DD56C0" w:rsidRDefault="00E40A00">
      <w:pPr>
        <w:pStyle w:val="BodyText"/>
        <w:spacing w:before="59"/>
        <w:rPr>
          <w:b/>
          <w:sz w:val="20"/>
        </w:rPr>
      </w:pPr>
      <w:r>
        <w:rPr>
          <w:noProof/>
        </w:rPr>
        <mc:AlternateContent>
          <mc:Choice Requires="wps">
            <w:drawing>
              <wp:anchor distT="0" distB="0" distL="0" distR="0" simplePos="0" relativeHeight="487587840" behindDoc="1" locked="0" layoutInCell="1" allowOverlap="1" wp14:anchorId="0A4593AF" wp14:editId="2A3F4B6F">
                <wp:simplePos x="0" y="0"/>
                <wp:positionH relativeFrom="page">
                  <wp:posOffset>801121</wp:posOffset>
                </wp:positionH>
                <wp:positionV relativeFrom="paragraph">
                  <wp:posOffset>200314</wp:posOffset>
                </wp:positionV>
                <wp:extent cx="6181725" cy="9525"/>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81725" cy="9525"/>
                        </a:xfrm>
                        <a:custGeom>
                          <a:avLst/>
                          <a:gdLst/>
                          <a:ahLst/>
                          <a:cxnLst/>
                          <a:rect l="l" t="t" r="r" b="b"/>
                          <a:pathLst>
                            <a:path w="6181725" h="9525">
                              <a:moveTo>
                                <a:pt x="6171250" y="9619"/>
                              </a:moveTo>
                              <a:lnTo>
                                <a:pt x="-1201" y="9619"/>
                              </a:lnTo>
                              <a:lnTo>
                                <a:pt x="-1201" y="19130"/>
                              </a:lnTo>
                              <a:lnTo>
                                <a:pt x="6171250" y="19130"/>
                              </a:lnTo>
                              <a:lnTo>
                                <a:pt x="6171250" y="9619"/>
                              </a:lnTo>
                              <a:close/>
                            </a:path>
                          </a:pathLst>
                        </a:custGeom>
                        <a:solidFill>
                          <a:srgbClr val="D0D5DA"/>
                        </a:solidFill>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EFD9F65" id="Graphic 11" o:spid="_x0000_s1026" style="position:absolute;margin-left:63.1pt;margin-top:15.75pt;width:486.75pt;height:.75pt;z-index:-15728640;visibility:visible;mso-wrap-style:square;mso-wrap-distance-left:0;mso-wrap-distance-top:0;mso-wrap-distance-right:0;mso-wrap-distance-bottom:0;mso-position-horizontal:absolute;mso-position-horizontal-relative:page;mso-position-vertical:absolute;mso-position-vertical-relative:text;v-text-anchor:top" coordsize="618172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" path="m6171250,9619r-6172451,l-1201,19130r6172451,l6171250,9619xe" fillcolor="#d0d5da" stroked="f">
                <v:path arrowok="t"/>
                <w10:wrap type="topAndBottom" anchorx="page"/>
              </v:shape>
            </w:pict>
          </mc:Fallback>
        </mc:AlternateContent>
      </w:r>
    </w:p>
    <w:p w14:paraId="3C864CDB" w14:textId="77777777" w:rsidR="00DD56C0" w:rsidRDefault="00E40A00">
      <w:pPr>
        <w:pStyle w:val="Heading1"/>
        <w:spacing w:before="152"/>
      </w:pPr>
      <w:bookmarkStart w:id="1" w:name="RESPONSIBILITY:"/>
      <w:bookmarkStart w:id="2" w:name="POLICY:"/>
      <w:bookmarkEnd w:id="1"/>
      <w:bookmarkEnd w:id="2"/>
      <w:r>
        <w:rPr>
          <w:color w:val="182D4A"/>
          <w:spacing w:val="-2"/>
        </w:rPr>
        <w:t>POLICY:</w:t>
      </w:r>
    </w:p>
    <w:p w14:paraId="073F36D8" w14:textId="66C2AB54" w:rsidR="00DD56C0" w:rsidRPr="002017DA" w:rsidRDefault="00E40A00">
      <w:pPr>
        <w:pStyle w:val="BodyText"/>
        <w:spacing w:before="160" w:line="295" w:lineRule="auto"/>
        <w:ind w:left="409" w:right="205"/>
        <w:rPr>
          <w:color w:val="182D4A"/>
          <w:spacing w:val="-2"/>
          <w:szCs w:val="22"/>
        </w:rPr>
      </w:pPr>
      <w:r w:rsidRPr="002017DA">
        <w:rPr>
          <w:color w:val="182D4A"/>
          <w:spacing w:val="-2"/>
          <w:szCs w:val="22"/>
        </w:rPr>
        <w:t>The Brooklyn Hospital Center (TBHC) is committed to providing financial assistance to persons who have healthcare needs and are uninsured, underinsured, ineligible for a government program, or otherwise unable to pay</w:t>
      </w:r>
      <w:r w:rsidR="00B467A6">
        <w:rPr>
          <w:color w:val="182D4A"/>
          <w:spacing w:val="-2"/>
          <w:szCs w:val="22"/>
        </w:rPr>
        <w:t xml:space="preserve"> for</w:t>
      </w:r>
      <w:r w:rsidRPr="002017DA">
        <w:rPr>
          <w:color w:val="182D4A"/>
          <w:spacing w:val="-2"/>
          <w:szCs w:val="22"/>
        </w:rPr>
        <w:t>, for medically necessary care based on their individual financial situation.</w:t>
      </w:r>
    </w:p>
    <w:p w14:paraId="1F27A24F" w14:textId="2A26F681" w:rsidR="00DD56C0" w:rsidRPr="002017DA" w:rsidRDefault="00E40A00">
      <w:pPr>
        <w:pStyle w:val="BodyText"/>
        <w:spacing w:before="148" w:line="295" w:lineRule="auto"/>
        <w:ind w:left="409"/>
        <w:rPr>
          <w:color w:val="182D4A"/>
          <w:spacing w:val="-2"/>
          <w:szCs w:val="22"/>
        </w:rPr>
      </w:pPr>
      <w:r w:rsidRPr="002017DA">
        <w:rPr>
          <w:color w:val="182D4A"/>
          <w:spacing w:val="-2"/>
          <w:szCs w:val="22"/>
        </w:rPr>
        <w:t>Consistent with its mission TBHC is dedicated to providing outstanding health services, education, and research to keep the people of Brooklyn and greater New York healthy. TBHC strives to ensure that the financial capacity of people who need health care services does not prevent them from seeking or receiving care.</w:t>
      </w:r>
      <w:r w:rsidR="00CF6C00">
        <w:rPr>
          <w:color w:val="182D4A"/>
          <w:spacing w:val="-2"/>
          <w:szCs w:val="22"/>
        </w:rPr>
        <w:t xml:space="preserve"> </w:t>
      </w:r>
      <w:r w:rsidR="00CF6C00" w:rsidRPr="00CF6C00">
        <w:rPr>
          <w:color w:val="182D4A"/>
          <w:spacing w:val="-2"/>
          <w:szCs w:val="22"/>
        </w:rPr>
        <w:t>TBHC will not deny admission or treatment for emergency medical care or other services reasonably anticipated to be medically necessary because a patient has an unpaid medical bill.</w:t>
      </w:r>
    </w:p>
    <w:p w14:paraId="4E8A801F" w14:textId="77777777" w:rsidR="00DD56C0" w:rsidRDefault="00E40A00">
      <w:pPr>
        <w:pStyle w:val="Heading1"/>
        <w:numPr>
          <w:ilvl w:val="0"/>
          <w:numId w:val="2"/>
        </w:numPr>
        <w:tabs>
          <w:tab w:val="left" w:pos="781"/>
        </w:tabs>
        <w:spacing w:before="80"/>
        <w:ind w:left="781" w:hanging="372"/>
      </w:pPr>
      <w:bookmarkStart w:id="3" w:name="Definitions"/>
      <w:bookmarkEnd w:id="3"/>
      <w:r>
        <w:rPr>
          <w:color w:val="182D4A"/>
          <w:spacing w:val="-2"/>
        </w:rPr>
        <w:t>Definitions</w:t>
      </w:r>
    </w:p>
    <w:p w14:paraId="326213C8" w14:textId="55339D5E" w:rsidR="00DD56C0" w:rsidRDefault="00E40A00">
      <w:pPr>
        <w:pStyle w:val="BodyText"/>
        <w:spacing w:before="160"/>
        <w:ind w:left="409"/>
      </w:pPr>
      <w:r>
        <w:rPr>
          <w:color w:val="182D4A"/>
          <w:spacing w:val="-4"/>
        </w:rPr>
        <w:t>For</w:t>
      </w:r>
      <w:r>
        <w:rPr>
          <w:color w:val="182D4A"/>
          <w:spacing w:val="-8"/>
        </w:rPr>
        <w:t xml:space="preserve"> </w:t>
      </w:r>
      <w:r>
        <w:rPr>
          <w:color w:val="182D4A"/>
          <w:spacing w:val="-4"/>
        </w:rPr>
        <w:t>the</w:t>
      </w:r>
      <w:r>
        <w:rPr>
          <w:color w:val="182D4A"/>
          <w:spacing w:val="-7"/>
        </w:rPr>
        <w:t xml:space="preserve"> </w:t>
      </w:r>
      <w:r>
        <w:rPr>
          <w:color w:val="182D4A"/>
          <w:spacing w:val="-4"/>
        </w:rPr>
        <w:t>purpose</w:t>
      </w:r>
      <w:r>
        <w:rPr>
          <w:color w:val="182D4A"/>
          <w:spacing w:val="-7"/>
        </w:rPr>
        <w:t xml:space="preserve"> </w:t>
      </w:r>
      <w:r>
        <w:rPr>
          <w:color w:val="182D4A"/>
          <w:spacing w:val="-4"/>
        </w:rPr>
        <w:t>of</w:t>
      </w:r>
      <w:r>
        <w:rPr>
          <w:color w:val="182D4A"/>
          <w:spacing w:val="-7"/>
        </w:rPr>
        <w:t xml:space="preserve"> </w:t>
      </w:r>
      <w:r>
        <w:rPr>
          <w:color w:val="182D4A"/>
          <w:spacing w:val="-4"/>
        </w:rPr>
        <w:t>this</w:t>
      </w:r>
      <w:r>
        <w:rPr>
          <w:color w:val="182D4A"/>
          <w:spacing w:val="-5"/>
        </w:rPr>
        <w:t xml:space="preserve"> </w:t>
      </w:r>
      <w:r>
        <w:rPr>
          <w:color w:val="182D4A"/>
          <w:spacing w:val="-4"/>
        </w:rPr>
        <w:t>policy,</w:t>
      </w:r>
      <w:r>
        <w:rPr>
          <w:color w:val="182D4A"/>
          <w:spacing w:val="-7"/>
        </w:rPr>
        <w:t xml:space="preserve"> </w:t>
      </w:r>
      <w:r>
        <w:rPr>
          <w:color w:val="182D4A"/>
          <w:spacing w:val="-4"/>
        </w:rPr>
        <w:t>the</w:t>
      </w:r>
      <w:r>
        <w:rPr>
          <w:color w:val="182D4A"/>
          <w:spacing w:val="-7"/>
        </w:rPr>
        <w:t xml:space="preserve"> </w:t>
      </w:r>
      <w:r>
        <w:rPr>
          <w:color w:val="182D4A"/>
          <w:spacing w:val="-4"/>
        </w:rPr>
        <w:t>terms</w:t>
      </w:r>
      <w:r>
        <w:rPr>
          <w:color w:val="182D4A"/>
          <w:spacing w:val="-7"/>
        </w:rPr>
        <w:t xml:space="preserve"> </w:t>
      </w:r>
      <w:r>
        <w:rPr>
          <w:color w:val="182D4A"/>
          <w:spacing w:val="-4"/>
        </w:rPr>
        <w:t>below</w:t>
      </w:r>
      <w:r>
        <w:rPr>
          <w:color w:val="182D4A"/>
          <w:spacing w:val="-5"/>
        </w:rPr>
        <w:t xml:space="preserve"> </w:t>
      </w:r>
      <w:r>
        <w:rPr>
          <w:color w:val="182D4A"/>
          <w:spacing w:val="-4"/>
        </w:rPr>
        <w:t>are</w:t>
      </w:r>
      <w:r>
        <w:rPr>
          <w:color w:val="182D4A"/>
          <w:spacing w:val="-7"/>
        </w:rPr>
        <w:t xml:space="preserve"> </w:t>
      </w:r>
      <w:r>
        <w:rPr>
          <w:color w:val="182D4A"/>
          <w:spacing w:val="-4"/>
        </w:rPr>
        <w:t>defined</w:t>
      </w:r>
      <w:r>
        <w:rPr>
          <w:color w:val="182D4A"/>
          <w:spacing w:val="-7"/>
        </w:rPr>
        <w:t xml:space="preserve"> </w:t>
      </w:r>
      <w:r>
        <w:rPr>
          <w:color w:val="182D4A"/>
          <w:spacing w:val="-4"/>
        </w:rPr>
        <w:t>as</w:t>
      </w:r>
      <w:r>
        <w:rPr>
          <w:color w:val="182D4A"/>
          <w:spacing w:val="-7"/>
        </w:rPr>
        <w:t xml:space="preserve"> </w:t>
      </w:r>
      <w:r>
        <w:rPr>
          <w:color w:val="182D4A"/>
          <w:spacing w:val="-4"/>
        </w:rPr>
        <w:t>follows:</w:t>
      </w:r>
    </w:p>
    <w:p w14:paraId="4977EEEC" w14:textId="77777777" w:rsidR="00CF6C00" w:rsidRDefault="00CF6C00">
      <w:pPr>
        <w:pStyle w:val="BodyText"/>
        <w:spacing w:before="206" w:line="295" w:lineRule="auto"/>
        <w:ind w:left="409" w:right="205"/>
        <w:rPr>
          <w:b/>
          <w:color w:val="182D4A"/>
          <w:spacing w:val="-2"/>
        </w:rPr>
      </w:pPr>
      <w:r>
        <w:rPr>
          <w:b/>
          <w:color w:val="182D4A"/>
          <w:spacing w:val="-2"/>
        </w:rPr>
        <w:t>Emergency Medical Care:</w:t>
      </w:r>
      <w:r>
        <w:t xml:space="preserve"> </w:t>
      </w:r>
      <w:r w:rsidRPr="002017DA">
        <w:rPr>
          <w:color w:val="182D4A"/>
          <w:spacing w:val="-2"/>
          <w:szCs w:val="22"/>
        </w:rPr>
        <w:t>Healthcare services that a hospital or physician would provide to a patient exhibiting an emergency medical condition</w:t>
      </w:r>
      <w:r>
        <w:rPr>
          <w:b/>
          <w:color w:val="182D4A"/>
          <w:spacing w:val="-2"/>
        </w:rPr>
        <w:t xml:space="preserve"> </w:t>
      </w:r>
    </w:p>
    <w:p w14:paraId="779DB66C" w14:textId="19DBC6D4" w:rsidR="00DD56C0" w:rsidRPr="00376E9B" w:rsidRDefault="008B7FD1">
      <w:pPr>
        <w:pStyle w:val="BodyText"/>
        <w:spacing w:before="206" w:line="295" w:lineRule="auto"/>
        <w:ind w:left="409" w:right="205"/>
        <w:rPr>
          <w:color w:val="182D4A"/>
          <w:spacing w:val="-4"/>
          <w:szCs w:val="22"/>
        </w:rPr>
      </w:pPr>
      <w:r>
        <w:rPr>
          <w:b/>
          <w:color w:val="182D4A"/>
          <w:spacing w:val="-2"/>
        </w:rPr>
        <w:t xml:space="preserve">Financial Assistance: </w:t>
      </w:r>
      <w:r w:rsidRPr="00376E9B">
        <w:rPr>
          <w:color w:val="182D4A"/>
          <w:spacing w:val="-4"/>
          <w:szCs w:val="22"/>
        </w:rPr>
        <w:t>The discount offered by TBHC to persons who cannot afford to pay for the care they received for emergency medical care or other medically necessary service</w:t>
      </w:r>
      <w:r w:rsidR="00CF6C00">
        <w:rPr>
          <w:color w:val="182D4A"/>
          <w:spacing w:val="-4"/>
          <w:szCs w:val="22"/>
        </w:rPr>
        <w:t>s</w:t>
      </w:r>
      <w:r w:rsidRPr="00376E9B">
        <w:rPr>
          <w:color w:val="182D4A"/>
          <w:spacing w:val="-4"/>
          <w:szCs w:val="22"/>
        </w:rPr>
        <w:t xml:space="preserve"> based on this policy.</w:t>
      </w:r>
    </w:p>
    <w:p w14:paraId="786C341C" w14:textId="77777777" w:rsidR="00DD56C0" w:rsidRPr="00376E9B" w:rsidRDefault="00E40A00">
      <w:pPr>
        <w:pStyle w:val="BodyText"/>
        <w:spacing w:before="148" w:line="295" w:lineRule="auto"/>
        <w:ind w:left="409"/>
        <w:rPr>
          <w:color w:val="182D4A"/>
          <w:spacing w:val="-4"/>
          <w:szCs w:val="22"/>
        </w:rPr>
      </w:pPr>
      <w:r>
        <w:rPr>
          <w:b/>
          <w:color w:val="182D4A"/>
          <w:spacing w:val="-2"/>
        </w:rPr>
        <w:t>Family:</w:t>
      </w:r>
      <w:r>
        <w:rPr>
          <w:b/>
          <w:color w:val="182D4A"/>
          <w:spacing w:val="-8"/>
        </w:rPr>
        <w:t xml:space="preserve"> </w:t>
      </w:r>
      <w:r w:rsidR="006D5B43" w:rsidRPr="00376E9B">
        <w:rPr>
          <w:color w:val="182D4A"/>
          <w:spacing w:val="-4"/>
          <w:szCs w:val="22"/>
        </w:rPr>
        <w:t>A</w:t>
      </w:r>
      <w:r w:rsidRPr="00376E9B">
        <w:rPr>
          <w:color w:val="182D4A"/>
          <w:spacing w:val="-4"/>
          <w:szCs w:val="22"/>
        </w:rPr>
        <w:t xml:space="preserve"> group of two or more people who reside together and who are related by birth, marriage, or adoption. According to Internal Revenue Service rules, if the patient claims someone as a dependent on their income tax return, they may be considered a dependent for purposes of the provision of financial assistance.</w:t>
      </w:r>
    </w:p>
    <w:p w14:paraId="6A17FF25" w14:textId="4F89B16F" w:rsidR="00DD56C0" w:rsidRDefault="00E40A00" w:rsidP="006D5B43">
      <w:pPr>
        <w:pStyle w:val="BodyText"/>
        <w:spacing w:before="149" w:line="295" w:lineRule="auto"/>
        <w:ind w:left="409" w:right="110"/>
        <w:rPr>
          <w:color w:val="182D4A"/>
          <w:spacing w:val="-4"/>
          <w:szCs w:val="22"/>
        </w:rPr>
      </w:pPr>
      <w:r>
        <w:rPr>
          <w:b/>
          <w:color w:val="182D4A"/>
          <w:spacing w:val="-2"/>
        </w:rPr>
        <w:t>Family</w:t>
      </w:r>
      <w:r>
        <w:rPr>
          <w:b/>
          <w:color w:val="182D4A"/>
          <w:spacing w:val="-8"/>
        </w:rPr>
        <w:t xml:space="preserve"> </w:t>
      </w:r>
      <w:r>
        <w:rPr>
          <w:b/>
          <w:color w:val="182D4A"/>
          <w:spacing w:val="-2"/>
        </w:rPr>
        <w:t>Income</w:t>
      </w:r>
      <w:r>
        <w:rPr>
          <w:color w:val="182D4A"/>
          <w:spacing w:val="-2"/>
        </w:rPr>
        <w:t>:</w:t>
      </w:r>
      <w:r w:rsidR="006D5B43">
        <w:rPr>
          <w:color w:val="182D4A"/>
          <w:spacing w:val="-2"/>
        </w:rPr>
        <w:t xml:space="preserve"> </w:t>
      </w:r>
      <w:r w:rsidR="006D5B43" w:rsidRPr="00376E9B">
        <w:rPr>
          <w:color w:val="182D4A"/>
          <w:spacing w:val="-4"/>
          <w:szCs w:val="22"/>
        </w:rPr>
        <w:t xml:space="preserve">Includes wages, salary, unemployment compensation, Social Security payment, disability payment, workers comp, alimony, child support, dividend/interest, rental income, </w:t>
      </w:r>
      <w:r w:rsidR="00464682" w:rsidRPr="00376E9B">
        <w:rPr>
          <w:color w:val="182D4A"/>
          <w:spacing w:val="-4"/>
          <w:szCs w:val="22"/>
        </w:rPr>
        <w:t>royalties, pension, retirement income</w:t>
      </w:r>
      <w:r w:rsidRPr="00376E9B">
        <w:rPr>
          <w:color w:val="182D4A"/>
          <w:spacing w:val="-4"/>
          <w:szCs w:val="22"/>
        </w:rPr>
        <w:t xml:space="preserve"> </w:t>
      </w:r>
      <w:r w:rsidR="006D5B43" w:rsidRPr="00376E9B">
        <w:rPr>
          <w:color w:val="182D4A"/>
          <w:spacing w:val="-4"/>
          <w:szCs w:val="22"/>
        </w:rPr>
        <w:t>and other miscellaneous sources.</w:t>
      </w:r>
    </w:p>
    <w:p w14:paraId="7068CC62" w14:textId="1A4326CA" w:rsidR="00CF6C00" w:rsidRPr="00376E9B" w:rsidRDefault="00CF6C00" w:rsidP="006D5B43">
      <w:pPr>
        <w:pStyle w:val="BodyText"/>
        <w:spacing w:before="149" w:line="295" w:lineRule="auto"/>
        <w:ind w:left="409" w:right="110"/>
        <w:rPr>
          <w:color w:val="182D4A"/>
          <w:spacing w:val="-4"/>
          <w:szCs w:val="22"/>
        </w:rPr>
      </w:pPr>
      <w:r w:rsidRPr="00CF6C00">
        <w:rPr>
          <w:color w:val="182D4A"/>
          <w:spacing w:val="-4"/>
          <w:szCs w:val="22"/>
        </w:rPr>
        <w:t>Federal Poverty Level ("FPL"): The poverty guidelines issued annually by the United States Department of Health and Human Services and used by TBHC to determine eligibility and the level of Financial Assistance available under this Policy.</w:t>
      </w:r>
    </w:p>
    <w:p w14:paraId="35A41AB7" w14:textId="77777777" w:rsidR="00DD56C0" w:rsidRPr="00376E9B" w:rsidRDefault="00E40A00">
      <w:pPr>
        <w:pStyle w:val="BodyText"/>
        <w:spacing w:before="222" w:line="295" w:lineRule="auto"/>
        <w:ind w:left="409"/>
        <w:rPr>
          <w:color w:val="182D4A"/>
          <w:spacing w:val="-4"/>
          <w:szCs w:val="22"/>
        </w:rPr>
      </w:pPr>
      <w:r>
        <w:rPr>
          <w:b/>
          <w:color w:val="182D4A"/>
          <w:spacing w:val="-2"/>
        </w:rPr>
        <w:t>Uninsured:</w:t>
      </w:r>
      <w:r>
        <w:rPr>
          <w:b/>
          <w:color w:val="182D4A"/>
          <w:spacing w:val="-9"/>
        </w:rPr>
        <w:t xml:space="preserve"> </w:t>
      </w:r>
      <w:r w:rsidRPr="00376E9B">
        <w:rPr>
          <w:color w:val="182D4A"/>
          <w:spacing w:val="-4"/>
          <w:szCs w:val="22"/>
        </w:rPr>
        <w:t>The patient has no level of insurance or third party assistance to assist with meeting his/her payment obligations.</w:t>
      </w:r>
    </w:p>
    <w:p w14:paraId="73A1A403" w14:textId="7A986C5F" w:rsidR="00DD56C0" w:rsidRPr="002017DA" w:rsidRDefault="00E40A00">
      <w:pPr>
        <w:pStyle w:val="BodyText"/>
        <w:spacing w:before="149" w:line="295" w:lineRule="auto"/>
        <w:ind w:left="409" w:right="205"/>
        <w:rPr>
          <w:color w:val="182D4A"/>
          <w:spacing w:val="-2"/>
          <w:szCs w:val="22"/>
        </w:rPr>
      </w:pPr>
      <w:r>
        <w:rPr>
          <w:b/>
          <w:color w:val="182D4A"/>
          <w:spacing w:val="-2"/>
        </w:rPr>
        <w:t>Underinsured:</w:t>
      </w:r>
      <w:r>
        <w:rPr>
          <w:b/>
          <w:color w:val="182D4A"/>
          <w:spacing w:val="-13"/>
        </w:rPr>
        <w:t xml:space="preserve"> </w:t>
      </w:r>
      <w:r w:rsidR="00CF6C00">
        <w:rPr>
          <w:color w:val="182D4A"/>
          <w:spacing w:val="-2"/>
          <w:szCs w:val="22"/>
        </w:rPr>
        <w:t>An individual</w:t>
      </w:r>
      <w:r w:rsidR="006D5B43" w:rsidRPr="002017DA">
        <w:rPr>
          <w:color w:val="182D4A"/>
          <w:spacing w:val="-2"/>
          <w:szCs w:val="22"/>
        </w:rPr>
        <w:t xml:space="preserve"> whose </w:t>
      </w:r>
      <w:r w:rsidR="00CF6C00">
        <w:rPr>
          <w:color w:val="182D4A"/>
          <w:spacing w:val="-2"/>
          <w:szCs w:val="22"/>
        </w:rPr>
        <w:t>out-of-pocket</w:t>
      </w:r>
      <w:r w:rsidR="006D5B43" w:rsidRPr="002017DA">
        <w:rPr>
          <w:color w:val="182D4A"/>
          <w:spacing w:val="-2"/>
          <w:szCs w:val="22"/>
        </w:rPr>
        <w:t xml:space="preserve"> medical</w:t>
      </w:r>
      <w:r w:rsidR="00CF6C00">
        <w:rPr>
          <w:color w:val="182D4A"/>
          <w:spacing w:val="-2"/>
          <w:szCs w:val="22"/>
        </w:rPr>
        <w:t xml:space="preserve"> </w:t>
      </w:r>
      <w:r w:rsidR="00CF6C00" w:rsidRPr="00CF6C00">
        <w:rPr>
          <w:color w:val="182D4A"/>
          <w:spacing w:val="-2"/>
          <w:szCs w:val="22"/>
        </w:rPr>
        <w:t>cumulated during the preceding twelve months amount to more than</w:t>
      </w:r>
      <w:r w:rsidR="00CF6C00">
        <w:rPr>
          <w:color w:val="182D4A"/>
          <w:spacing w:val="-2"/>
          <w:szCs w:val="22"/>
        </w:rPr>
        <w:t xml:space="preserve"> 10%</w:t>
      </w:r>
      <w:r w:rsidR="008B7FD1" w:rsidRPr="002017DA">
        <w:rPr>
          <w:color w:val="182D4A"/>
          <w:spacing w:val="-2"/>
          <w:szCs w:val="22"/>
        </w:rPr>
        <w:t xml:space="preserve"> of </w:t>
      </w:r>
      <w:r w:rsidR="00CF6C00">
        <w:rPr>
          <w:color w:val="182D4A"/>
          <w:spacing w:val="-2"/>
          <w:szCs w:val="22"/>
        </w:rPr>
        <w:t>the individual’s gross annual income</w:t>
      </w:r>
    </w:p>
    <w:p w14:paraId="6786B6F6" w14:textId="103E59F0" w:rsidR="00506236" w:rsidRDefault="004B6023">
      <w:pPr>
        <w:pStyle w:val="BodyText"/>
        <w:spacing w:before="149" w:line="295" w:lineRule="auto"/>
        <w:ind w:left="409" w:right="205"/>
        <w:rPr>
          <w:color w:val="182D4A"/>
          <w:spacing w:val="-2"/>
          <w:szCs w:val="22"/>
        </w:rPr>
      </w:pPr>
      <w:r>
        <w:rPr>
          <w:b/>
          <w:color w:val="182D4A"/>
          <w:spacing w:val="-2"/>
        </w:rPr>
        <w:t>Medically Necessary Services:</w:t>
      </w:r>
      <w:r>
        <w:t xml:space="preserve"> </w:t>
      </w:r>
      <w:r w:rsidRPr="002017DA">
        <w:rPr>
          <w:color w:val="182D4A"/>
          <w:spacing w:val="-2"/>
          <w:szCs w:val="22"/>
        </w:rPr>
        <w:t>Healthcare services that a physician would provide to a patient for the purpose of evaluating, diagnosing, or treating an illness, injury, disease or it’s symptoms and that are clinically appropriate and not primarily for the convenience of the patient or cosmetic</w:t>
      </w:r>
      <w:r w:rsidR="00336A34" w:rsidRPr="002017DA">
        <w:rPr>
          <w:color w:val="182D4A"/>
          <w:spacing w:val="-2"/>
          <w:szCs w:val="22"/>
        </w:rPr>
        <w:t>.</w:t>
      </w:r>
    </w:p>
    <w:p w14:paraId="430CF64C" w14:textId="77777777" w:rsidR="00506236" w:rsidRDefault="00506236">
      <w:pPr>
        <w:rPr>
          <w:color w:val="182D4A"/>
          <w:spacing w:val="-2"/>
          <w:sz w:val="21"/>
        </w:rPr>
      </w:pPr>
      <w:r>
        <w:rPr>
          <w:color w:val="182D4A"/>
          <w:spacing w:val="-2"/>
        </w:rPr>
        <w:br w:type="page"/>
      </w:r>
    </w:p>
    <w:p w14:paraId="3625DE20" w14:textId="77777777" w:rsidR="00DD56C0" w:rsidRPr="008F460D" w:rsidRDefault="00E40A00">
      <w:pPr>
        <w:pStyle w:val="Heading1"/>
        <w:numPr>
          <w:ilvl w:val="0"/>
          <w:numId w:val="2"/>
        </w:numPr>
        <w:tabs>
          <w:tab w:val="left" w:pos="911"/>
        </w:tabs>
        <w:spacing w:before="96"/>
        <w:ind w:left="911" w:hanging="502"/>
      </w:pPr>
      <w:bookmarkStart w:id="4" w:name="Procedures"/>
      <w:bookmarkEnd w:id="4"/>
      <w:r>
        <w:rPr>
          <w:color w:val="182D4A"/>
          <w:spacing w:val="-2"/>
        </w:rPr>
        <w:lastRenderedPageBreak/>
        <w:t>Procedures</w:t>
      </w:r>
    </w:p>
    <w:p w14:paraId="65C73489" w14:textId="77777777" w:rsidR="008F460D" w:rsidRPr="00376E9B" w:rsidRDefault="008F460D" w:rsidP="008F460D">
      <w:pPr>
        <w:pStyle w:val="BodyText"/>
        <w:spacing w:before="147" w:line="295" w:lineRule="auto"/>
        <w:ind w:left="782" w:right="110"/>
        <w:rPr>
          <w:color w:val="182D4A"/>
          <w:spacing w:val="-4"/>
          <w:szCs w:val="22"/>
        </w:rPr>
      </w:pPr>
      <w:r w:rsidRPr="00376E9B">
        <w:rPr>
          <w:color w:val="182D4A"/>
          <w:spacing w:val="-4"/>
          <w:szCs w:val="22"/>
        </w:rPr>
        <w:t>In order to manage its resources responsibly and to allow TBHC to provide the appropriate level of Financial Assistance to persons in need, the following procedures and guidelines have been established for the provision of Financial A</w:t>
      </w:r>
      <w:r w:rsidR="00336A34" w:rsidRPr="00376E9B">
        <w:rPr>
          <w:color w:val="182D4A"/>
          <w:spacing w:val="-4"/>
          <w:szCs w:val="22"/>
        </w:rPr>
        <w:t>ssistance in accordance with State and Federal regulations.</w:t>
      </w:r>
    </w:p>
    <w:p w14:paraId="13E37FD4" w14:textId="66C0F2D8" w:rsidR="00CF6C00" w:rsidRDefault="008B7FD1" w:rsidP="00CF6C00">
      <w:pPr>
        <w:pStyle w:val="ListParagraph"/>
        <w:numPr>
          <w:ilvl w:val="0"/>
          <w:numId w:val="1"/>
        </w:numPr>
        <w:tabs>
          <w:tab w:val="left" w:pos="1336"/>
          <w:tab w:val="left" w:pos="1338"/>
        </w:tabs>
        <w:spacing w:before="75" w:line="268" w:lineRule="auto"/>
        <w:ind w:right="385"/>
        <w:rPr>
          <w:color w:val="182D4A"/>
          <w:spacing w:val="-4"/>
          <w:sz w:val="21"/>
        </w:rPr>
      </w:pPr>
      <w:r w:rsidRPr="00336A34">
        <w:rPr>
          <w:b/>
          <w:color w:val="182D4A"/>
          <w:spacing w:val="-2"/>
          <w:sz w:val="21"/>
        </w:rPr>
        <w:t>Eligibility for Financial Assistance</w:t>
      </w:r>
      <w:r>
        <w:rPr>
          <w:color w:val="182D4A"/>
          <w:spacing w:val="-2"/>
          <w:sz w:val="21"/>
        </w:rPr>
        <w:t>:</w:t>
      </w:r>
      <w:r w:rsidR="00CF6C00">
        <w:rPr>
          <w:color w:val="182D4A"/>
          <w:spacing w:val="-4"/>
          <w:sz w:val="21"/>
        </w:rPr>
        <w:t xml:space="preserve"> </w:t>
      </w:r>
      <w:r w:rsidR="00CF6C00" w:rsidRPr="00CF6C00">
        <w:rPr>
          <w:color w:val="182D4A"/>
          <w:spacing w:val="-4"/>
          <w:sz w:val="21"/>
        </w:rPr>
        <w:t xml:space="preserve">Financial Assistance shall be available for </w:t>
      </w:r>
      <w:r w:rsidR="003232AA">
        <w:rPr>
          <w:color w:val="182D4A"/>
          <w:spacing w:val="-4"/>
          <w:sz w:val="21"/>
        </w:rPr>
        <w:t>E</w:t>
      </w:r>
      <w:r w:rsidR="00CF6C00" w:rsidRPr="00CF6C00">
        <w:rPr>
          <w:color w:val="182D4A"/>
          <w:spacing w:val="-4"/>
          <w:sz w:val="21"/>
        </w:rPr>
        <w:t xml:space="preserve">mergency </w:t>
      </w:r>
      <w:r w:rsidR="003232AA">
        <w:rPr>
          <w:color w:val="182D4A"/>
          <w:spacing w:val="-4"/>
          <w:sz w:val="21"/>
        </w:rPr>
        <w:t>Medical Care</w:t>
      </w:r>
      <w:r w:rsidR="00CF6C00" w:rsidRPr="00CF6C00">
        <w:rPr>
          <w:color w:val="182D4A"/>
          <w:spacing w:val="-4"/>
          <w:sz w:val="21"/>
        </w:rPr>
        <w:t>, including emergency transfers pursuant to the federal Emergency Medical Treatment and Active Labor Act (“EMTALA”), to eligible patients who reside in New York State and for medically necessary non-emergency hospital services to eligible patients who reside within TBHC's primary service area. TBHC may extend Financial Assistance for medically necessary non-emergency hospital services to patients residing outside its primary service area.</w:t>
      </w:r>
    </w:p>
    <w:p w14:paraId="4C75AD91" w14:textId="77777777" w:rsidR="00D52840" w:rsidRPr="00D459D8" w:rsidRDefault="00D52840" w:rsidP="00506236">
      <w:pPr>
        <w:pStyle w:val="ListParagraph"/>
        <w:shd w:val="clear" w:color="auto" w:fill="FFFFFF"/>
        <w:spacing w:after="100" w:afterAutospacing="1"/>
        <w:ind w:left="1338" w:firstLine="0"/>
        <w:rPr>
          <w:rFonts w:eastAsia="Times New Roman" w:cs="Arial"/>
          <w:sz w:val="26"/>
          <w:szCs w:val="26"/>
        </w:rPr>
      </w:pPr>
      <w:r w:rsidRPr="00D459D8">
        <w:rPr>
          <w:spacing w:val="-4"/>
          <w:sz w:val="21"/>
        </w:rPr>
        <w:t xml:space="preserve">Prior to commencing the Financial Assistance process, and where the Hospital has determined in its judgment that a patient may be eligible for Medicaid or another publicly subsidized insurance program, the Hospital may require that the patient apply for Medicaid or another publicly subsidized insurance program, and </w:t>
      </w:r>
      <w:r w:rsidRPr="00D459D8">
        <w:rPr>
          <w:rFonts w:cs="Calibri"/>
        </w:rPr>
        <w:t>upon the patient's cooperation in following the financial assistance application requirements, including the provision of information needed to make a determination on the patient's application in accordance with the hospital's financial assistance policy.  However, that this requirement shall not apply to any patient that would otherwise not qualify for coverage based on their immigration status.</w:t>
      </w:r>
    </w:p>
    <w:p w14:paraId="26374D7A" w14:textId="5983E212" w:rsidR="00DD56C0" w:rsidRDefault="00CF6C00" w:rsidP="00897C74">
      <w:pPr>
        <w:pStyle w:val="ListParagraph"/>
        <w:tabs>
          <w:tab w:val="left" w:pos="1336"/>
          <w:tab w:val="left" w:pos="1338"/>
        </w:tabs>
        <w:spacing w:before="75" w:line="268" w:lineRule="auto"/>
        <w:ind w:left="1338" w:right="385" w:firstLine="0"/>
        <w:rPr>
          <w:color w:val="182D4A"/>
          <w:spacing w:val="-4"/>
          <w:sz w:val="21"/>
        </w:rPr>
      </w:pPr>
      <w:r w:rsidRPr="00897C74">
        <w:rPr>
          <w:color w:val="182D4A"/>
          <w:spacing w:val="-4"/>
          <w:sz w:val="21"/>
        </w:rPr>
        <w:t>Individuals with Family Income at or below 400% of the FPL who otherwise meet the requirements of this Policy are eligible for Financial Assistance under this Policy if they are:</w:t>
      </w:r>
    </w:p>
    <w:p w14:paraId="5A528013" w14:textId="67C4CB66" w:rsidR="00CF6C00" w:rsidRPr="00CF6C00" w:rsidRDefault="00CF6C00" w:rsidP="00897C74">
      <w:pPr>
        <w:pStyle w:val="ListParagraph"/>
        <w:numPr>
          <w:ilvl w:val="0"/>
          <w:numId w:val="4"/>
        </w:numPr>
        <w:tabs>
          <w:tab w:val="left" w:pos="1336"/>
          <w:tab w:val="left" w:pos="1338"/>
        </w:tabs>
        <w:spacing w:before="75" w:line="268" w:lineRule="auto"/>
        <w:ind w:right="385"/>
        <w:rPr>
          <w:color w:val="182D4A"/>
          <w:spacing w:val="-4"/>
          <w:sz w:val="21"/>
        </w:rPr>
      </w:pPr>
      <w:r w:rsidRPr="00CF6C00">
        <w:rPr>
          <w:color w:val="182D4A"/>
          <w:spacing w:val="-4"/>
          <w:sz w:val="21"/>
        </w:rPr>
        <w:t>uninsured;</w:t>
      </w:r>
    </w:p>
    <w:p w14:paraId="2A0849F9" w14:textId="03FFC261" w:rsidR="00CF6C00" w:rsidRPr="00CF6C00" w:rsidRDefault="00CF6C00" w:rsidP="00897C74">
      <w:pPr>
        <w:pStyle w:val="ListParagraph"/>
        <w:numPr>
          <w:ilvl w:val="0"/>
          <w:numId w:val="4"/>
        </w:numPr>
        <w:tabs>
          <w:tab w:val="left" w:pos="1336"/>
          <w:tab w:val="left" w:pos="1338"/>
        </w:tabs>
        <w:spacing w:before="75" w:line="268" w:lineRule="auto"/>
        <w:ind w:right="385"/>
        <w:rPr>
          <w:color w:val="182D4A"/>
          <w:spacing w:val="-4"/>
          <w:sz w:val="21"/>
        </w:rPr>
      </w:pPr>
      <w:r w:rsidRPr="00CF6C00">
        <w:rPr>
          <w:color w:val="182D4A"/>
          <w:spacing w:val="-4"/>
          <w:sz w:val="21"/>
        </w:rPr>
        <w:t>underinsured, meaning their paid out-of-pocket medical expenses accumulated during the preceding twelve months exceed 10% of their gross annual income;</w:t>
      </w:r>
    </w:p>
    <w:p w14:paraId="1B0A8C9B" w14:textId="05D0C807" w:rsidR="00CF6C00" w:rsidRPr="00CF6C00" w:rsidRDefault="00CF6C00" w:rsidP="00897C74">
      <w:pPr>
        <w:pStyle w:val="ListParagraph"/>
        <w:numPr>
          <w:ilvl w:val="0"/>
          <w:numId w:val="4"/>
        </w:numPr>
        <w:tabs>
          <w:tab w:val="left" w:pos="1336"/>
          <w:tab w:val="left" w:pos="1338"/>
        </w:tabs>
        <w:spacing w:before="75" w:line="268" w:lineRule="auto"/>
        <w:ind w:right="385"/>
        <w:rPr>
          <w:color w:val="182D4A"/>
          <w:spacing w:val="-4"/>
          <w:sz w:val="21"/>
        </w:rPr>
      </w:pPr>
      <w:r w:rsidRPr="00CF6C00">
        <w:rPr>
          <w:color w:val="182D4A"/>
          <w:spacing w:val="-4"/>
          <w:sz w:val="21"/>
        </w:rPr>
        <w:t>individuals who have exhausted their health insurance benefits and can demonstrate an inability to pay full charges; or</w:t>
      </w:r>
    </w:p>
    <w:p w14:paraId="1C334AC7" w14:textId="77777777" w:rsidR="00CF6C00" w:rsidRDefault="00CF6C00" w:rsidP="00897C74">
      <w:pPr>
        <w:tabs>
          <w:tab w:val="left" w:pos="1336"/>
          <w:tab w:val="left" w:pos="1338"/>
        </w:tabs>
        <w:spacing w:before="75" w:line="268" w:lineRule="auto"/>
        <w:ind w:left="1336" w:right="385"/>
        <w:rPr>
          <w:color w:val="182D4A"/>
          <w:spacing w:val="-4"/>
          <w:sz w:val="21"/>
        </w:rPr>
      </w:pPr>
      <w:r w:rsidRPr="00897C74">
        <w:rPr>
          <w:color w:val="182D4A"/>
          <w:spacing w:val="-4"/>
          <w:sz w:val="21"/>
        </w:rPr>
        <w:t>The granting of assistance shall be based on an individualized determination of financial need, and shall not take into account age, gender, race, social or immigration status, sexual orientation or religious affiliation. Immigration status shall not be an eligibility criterion for Financial Assistance.</w:t>
      </w:r>
    </w:p>
    <w:p w14:paraId="0CD8FF90" w14:textId="3A7DDFD6" w:rsidR="00CF6C00" w:rsidRPr="00897C74" w:rsidRDefault="00CF6C00" w:rsidP="00897C74">
      <w:pPr>
        <w:tabs>
          <w:tab w:val="left" w:pos="1336"/>
          <w:tab w:val="left" w:pos="1338"/>
        </w:tabs>
        <w:spacing w:before="75" w:line="268" w:lineRule="auto"/>
        <w:ind w:left="1336" w:right="385"/>
        <w:rPr>
          <w:color w:val="182D4A"/>
          <w:spacing w:val="-4"/>
          <w:sz w:val="21"/>
        </w:rPr>
      </w:pPr>
      <w:r w:rsidRPr="00897C74">
        <w:rPr>
          <w:color w:val="182D4A"/>
          <w:spacing w:val="-4"/>
          <w:sz w:val="21"/>
        </w:rPr>
        <w:t>Nothing in this Policy prevents TBHC from providing greater discounts than those required by this Policy or from providing Financial Assistance to individuals with Family Income above 400% of the FPL.</w:t>
      </w:r>
    </w:p>
    <w:p w14:paraId="3384BBF5" w14:textId="4AE94E9F" w:rsidR="00CF6C00" w:rsidRDefault="00CF6C00" w:rsidP="00897C74">
      <w:pPr>
        <w:pStyle w:val="ListParagraph"/>
        <w:tabs>
          <w:tab w:val="left" w:pos="1336"/>
          <w:tab w:val="left" w:pos="1338"/>
        </w:tabs>
        <w:spacing w:before="75" w:line="268" w:lineRule="auto"/>
        <w:ind w:left="1338" w:right="385" w:firstLine="0"/>
        <w:rPr>
          <w:color w:val="182D4A"/>
          <w:spacing w:val="-4"/>
          <w:sz w:val="21"/>
        </w:rPr>
      </w:pPr>
      <w:r w:rsidRPr="00CF6C00">
        <w:rPr>
          <w:color w:val="182D4A"/>
          <w:spacing w:val="-4"/>
          <w:sz w:val="21"/>
        </w:rPr>
        <w:t>For patients determined to be eligible for Financial Assistance under this Policy, Financial Assistance shall not be limited based on the patient's medical condition, except for typical limitations or exclusions based on medical necessity or the clinical or therapeutic benefit of a procedure or treatment.</w:t>
      </w:r>
    </w:p>
    <w:p w14:paraId="32A415C4" w14:textId="1AE81F2F" w:rsidR="00DD56C0" w:rsidRDefault="00E40A00">
      <w:pPr>
        <w:pStyle w:val="ListParagraph"/>
        <w:numPr>
          <w:ilvl w:val="0"/>
          <w:numId w:val="1"/>
        </w:numPr>
        <w:tabs>
          <w:tab w:val="left" w:pos="1336"/>
        </w:tabs>
        <w:spacing w:before="102"/>
        <w:ind w:left="1336" w:hanging="350"/>
        <w:rPr>
          <w:color w:val="182D4A"/>
          <w:spacing w:val="-4"/>
          <w:sz w:val="21"/>
        </w:rPr>
      </w:pPr>
      <w:r w:rsidRPr="00F21FA2">
        <w:rPr>
          <w:b/>
          <w:color w:val="182D4A"/>
          <w:spacing w:val="-4"/>
          <w:sz w:val="21"/>
        </w:rPr>
        <w:t>Determination</w:t>
      </w:r>
      <w:r w:rsidRPr="00F21FA2">
        <w:rPr>
          <w:b/>
          <w:color w:val="182D4A"/>
          <w:spacing w:val="-3"/>
          <w:sz w:val="21"/>
        </w:rPr>
        <w:t xml:space="preserve"> </w:t>
      </w:r>
      <w:r w:rsidRPr="00F21FA2">
        <w:rPr>
          <w:b/>
          <w:color w:val="182D4A"/>
          <w:spacing w:val="-4"/>
          <w:sz w:val="21"/>
        </w:rPr>
        <w:t>of</w:t>
      </w:r>
      <w:r w:rsidRPr="00F21FA2">
        <w:rPr>
          <w:b/>
          <w:color w:val="182D4A"/>
          <w:spacing w:val="-1"/>
          <w:sz w:val="21"/>
        </w:rPr>
        <w:t xml:space="preserve"> </w:t>
      </w:r>
      <w:r w:rsidRPr="00F21FA2">
        <w:rPr>
          <w:b/>
          <w:color w:val="182D4A"/>
          <w:spacing w:val="-4"/>
          <w:sz w:val="21"/>
        </w:rPr>
        <w:t>Financial</w:t>
      </w:r>
      <w:r w:rsidRPr="00F21FA2">
        <w:rPr>
          <w:b/>
          <w:color w:val="182D4A"/>
          <w:spacing w:val="-3"/>
          <w:sz w:val="21"/>
        </w:rPr>
        <w:t xml:space="preserve"> </w:t>
      </w:r>
      <w:r w:rsidR="00F21FA2">
        <w:rPr>
          <w:b/>
          <w:color w:val="182D4A"/>
          <w:spacing w:val="-4"/>
          <w:sz w:val="21"/>
        </w:rPr>
        <w:t xml:space="preserve">Need: </w:t>
      </w:r>
      <w:r w:rsidR="00F21FA2" w:rsidRPr="00376E9B">
        <w:rPr>
          <w:color w:val="182D4A"/>
          <w:spacing w:val="-4"/>
          <w:sz w:val="21"/>
        </w:rPr>
        <w:t>Financial Assistance</w:t>
      </w:r>
      <w:r w:rsidR="003E2D96" w:rsidRPr="00376E9B">
        <w:rPr>
          <w:color w:val="182D4A"/>
          <w:spacing w:val="-4"/>
          <w:sz w:val="21"/>
        </w:rPr>
        <w:t xml:space="preserve"> will be considered upon submission of a completed application form and </w:t>
      </w:r>
      <w:r w:rsidR="00CF6C00">
        <w:rPr>
          <w:color w:val="182D4A"/>
          <w:spacing w:val="-4"/>
          <w:sz w:val="21"/>
        </w:rPr>
        <w:t>reasonabl</w:t>
      </w:r>
      <w:r w:rsidR="00790A50">
        <w:rPr>
          <w:color w:val="182D4A"/>
          <w:spacing w:val="-4"/>
          <w:sz w:val="21"/>
        </w:rPr>
        <w:t xml:space="preserve">y </w:t>
      </w:r>
      <w:r w:rsidR="003E2D96" w:rsidRPr="00376E9B">
        <w:rPr>
          <w:color w:val="182D4A"/>
          <w:spacing w:val="-4"/>
          <w:sz w:val="21"/>
        </w:rPr>
        <w:t>required documentation. The review will be based on family size and in</w:t>
      </w:r>
      <w:bookmarkStart w:id="5" w:name="_GoBack"/>
      <w:bookmarkEnd w:id="5"/>
      <w:r w:rsidR="003E2D96" w:rsidRPr="00376E9B">
        <w:rPr>
          <w:color w:val="182D4A"/>
          <w:spacing w:val="-4"/>
          <w:sz w:val="21"/>
        </w:rPr>
        <w:t>come as defined in this Policy</w:t>
      </w:r>
      <w:r w:rsidR="00790A50">
        <w:rPr>
          <w:color w:val="182D4A"/>
          <w:spacing w:val="-4"/>
          <w:sz w:val="21"/>
        </w:rPr>
        <w:t xml:space="preserve"> and, as applicable, insurance status and paid medical expense used to determine underinsured status</w:t>
      </w:r>
      <w:r w:rsidR="003E2D96" w:rsidRPr="00376E9B">
        <w:rPr>
          <w:color w:val="182D4A"/>
          <w:spacing w:val="-4"/>
          <w:sz w:val="21"/>
        </w:rPr>
        <w:t>. Patient’s assets such as car, house, etc. will not be considered. TBHC utilizes the NYS Uniform Financial Assistance Application for patient applying for assistance.</w:t>
      </w:r>
    </w:p>
    <w:p w14:paraId="6ACBEEB4" w14:textId="3F63F1BC" w:rsidR="00790A50" w:rsidRPr="00376E9B" w:rsidRDefault="00790A50" w:rsidP="00897C74">
      <w:pPr>
        <w:pStyle w:val="ListParagraph"/>
        <w:tabs>
          <w:tab w:val="left" w:pos="1336"/>
        </w:tabs>
        <w:spacing w:before="102"/>
        <w:ind w:left="1336" w:firstLine="0"/>
        <w:rPr>
          <w:color w:val="182D4A"/>
          <w:spacing w:val="-4"/>
          <w:sz w:val="21"/>
        </w:rPr>
      </w:pPr>
      <w:r w:rsidRPr="00790A50">
        <w:rPr>
          <w:color w:val="182D4A"/>
          <w:spacing w:val="-4"/>
          <w:sz w:val="21"/>
        </w:rPr>
        <w:t xml:space="preserve">Patients may provide the documentation permitted by the NYS Uniform Hospital Financial Assistance Application to establish household income. A patient with no household income may provide a signed statement of no income. The application process and documentation </w:t>
      </w:r>
      <w:r w:rsidRPr="00790A50">
        <w:rPr>
          <w:color w:val="182D4A"/>
          <w:spacing w:val="-4"/>
          <w:sz w:val="21"/>
        </w:rPr>
        <w:lastRenderedPageBreak/>
        <w:t>requirements shall not be unduly burdensome or complex. This Policy and TBHC’s Financial Assistance procedures shall be applied consistently to all eligible patients.</w:t>
      </w:r>
    </w:p>
    <w:p w14:paraId="2D721199" w14:textId="5ED71060" w:rsidR="00E01BE1" w:rsidRPr="00897C74" w:rsidRDefault="00A81011" w:rsidP="00E01BE1">
      <w:pPr>
        <w:pStyle w:val="ListParagraph"/>
        <w:numPr>
          <w:ilvl w:val="0"/>
          <w:numId w:val="1"/>
        </w:numPr>
        <w:tabs>
          <w:tab w:val="left" w:pos="1336"/>
        </w:tabs>
        <w:spacing w:before="102"/>
        <w:rPr>
          <w:b/>
          <w:sz w:val="21"/>
        </w:rPr>
      </w:pPr>
      <w:r>
        <w:rPr>
          <w:b/>
          <w:color w:val="182D4A"/>
          <w:spacing w:val="-4"/>
          <w:sz w:val="21"/>
        </w:rPr>
        <w:t>Process of Applying for Financial Assistance:</w:t>
      </w:r>
      <w:r w:rsidR="00FB520B">
        <w:rPr>
          <w:color w:val="182D4A"/>
          <w:spacing w:val="-4"/>
          <w:sz w:val="21"/>
        </w:rPr>
        <w:t xml:space="preserve"> Patients can</w:t>
      </w:r>
      <w:r>
        <w:rPr>
          <w:color w:val="182D4A"/>
          <w:spacing w:val="-4"/>
          <w:sz w:val="21"/>
        </w:rPr>
        <w:t xml:space="preserve"> apply for Financial Assistance by submitting an application to our Financial Assistance Unit via mail, in person</w:t>
      </w:r>
      <w:r w:rsidR="00B35AE0">
        <w:rPr>
          <w:color w:val="182D4A"/>
          <w:spacing w:val="-4"/>
          <w:sz w:val="21"/>
        </w:rPr>
        <w:t xml:space="preserve"> or by telephone. </w:t>
      </w:r>
      <w:r w:rsidR="00E01BE1" w:rsidRPr="00E01BE1">
        <w:rPr>
          <w:color w:val="182D4A"/>
          <w:spacing w:val="-4"/>
          <w:sz w:val="21"/>
        </w:rPr>
        <w:t>Upon request, TBHC will assist patients in understanding this Policy and in applying for Financial Assistance</w:t>
      </w:r>
      <w:r w:rsidR="00E01BE1">
        <w:rPr>
          <w:color w:val="182D4A"/>
          <w:spacing w:val="-4"/>
          <w:sz w:val="21"/>
        </w:rPr>
        <w:t>. An application is considered complete when all required documentation has been received.</w:t>
      </w:r>
    </w:p>
    <w:p w14:paraId="44DAF266" w14:textId="0EA047D0" w:rsidR="00E01BE1" w:rsidRDefault="00B35AE0" w:rsidP="00897C74">
      <w:pPr>
        <w:pStyle w:val="ListParagraph"/>
        <w:tabs>
          <w:tab w:val="left" w:pos="1336"/>
        </w:tabs>
        <w:spacing w:before="102"/>
        <w:ind w:left="1338" w:firstLine="0"/>
        <w:rPr>
          <w:color w:val="182D4A"/>
          <w:spacing w:val="-4"/>
          <w:sz w:val="21"/>
        </w:rPr>
      </w:pPr>
      <w:r>
        <w:rPr>
          <w:color w:val="182D4A"/>
          <w:spacing w:val="-4"/>
          <w:sz w:val="21"/>
        </w:rPr>
        <w:t>Patients are encouraged to apply for Financial Assistance within 90 days from service date</w:t>
      </w:r>
      <w:r w:rsidR="00E01BE1">
        <w:rPr>
          <w:color w:val="182D4A"/>
          <w:spacing w:val="-4"/>
          <w:sz w:val="21"/>
        </w:rPr>
        <w:t xml:space="preserve">; </w:t>
      </w:r>
      <w:r>
        <w:rPr>
          <w:color w:val="182D4A"/>
          <w:spacing w:val="-4"/>
          <w:sz w:val="21"/>
        </w:rPr>
        <w:t>however</w:t>
      </w:r>
      <w:r w:rsidR="00E01BE1">
        <w:rPr>
          <w:color w:val="182D4A"/>
          <w:spacing w:val="-4"/>
          <w:sz w:val="21"/>
        </w:rPr>
        <w:t>, the patient may apply at any time during the collection process.</w:t>
      </w:r>
    </w:p>
    <w:p w14:paraId="3DE9AF44" w14:textId="67A85C30" w:rsidR="00E01BE1" w:rsidRDefault="00E01BE1" w:rsidP="00897C74">
      <w:pPr>
        <w:pStyle w:val="ListParagraph"/>
        <w:tabs>
          <w:tab w:val="left" w:pos="1336"/>
        </w:tabs>
        <w:spacing w:before="102"/>
        <w:ind w:left="1338" w:firstLine="0"/>
        <w:rPr>
          <w:color w:val="182D4A"/>
          <w:spacing w:val="-4"/>
          <w:sz w:val="21"/>
        </w:rPr>
      </w:pPr>
      <w:r w:rsidRPr="00E01BE1">
        <w:rPr>
          <w:color w:val="182D4A"/>
          <w:spacing w:val="-4"/>
          <w:sz w:val="21"/>
        </w:rPr>
        <w:t>TBHC will refrain from sending an account to collection if the patient has submitted a completed application for Financial Assistance, including any required supporting documentation, while TBHC determines the patient's eligibility for Financial Assistance.</w:t>
      </w:r>
    </w:p>
    <w:p w14:paraId="5BE3CEE0" w14:textId="116532DE" w:rsidR="00A81011" w:rsidRPr="00FB520B" w:rsidRDefault="00FB520B" w:rsidP="00897C74">
      <w:pPr>
        <w:pStyle w:val="ListParagraph"/>
        <w:tabs>
          <w:tab w:val="left" w:pos="1336"/>
        </w:tabs>
        <w:spacing w:before="102"/>
        <w:ind w:left="1338" w:firstLine="0"/>
        <w:rPr>
          <w:b/>
          <w:sz w:val="21"/>
        </w:rPr>
      </w:pPr>
      <w:r>
        <w:rPr>
          <w:color w:val="182D4A"/>
          <w:spacing w:val="-4"/>
          <w:sz w:val="21"/>
        </w:rPr>
        <w:t>A decision will be made within 30 days of receipt of completed application. Written notificatio</w:t>
      </w:r>
      <w:r w:rsidR="00C20A7C">
        <w:rPr>
          <w:color w:val="182D4A"/>
          <w:spacing w:val="-4"/>
          <w:sz w:val="21"/>
        </w:rPr>
        <w:t xml:space="preserve">n will be provided to patients for all Financial Assistance </w:t>
      </w:r>
      <w:r>
        <w:rPr>
          <w:color w:val="182D4A"/>
          <w:spacing w:val="-4"/>
          <w:sz w:val="21"/>
        </w:rPr>
        <w:t>decision.</w:t>
      </w:r>
    </w:p>
    <w:p w14:paraId="4D845CF0" w14:textId="7BE720CA" w:rsidR="00FB520B" w:rsidRPr="00897C74" w:rsidRDefault="00FB520B">
      <w:pPr>
        <w:pStyle w:val="ListParagraph"/>
        <w:numPr>
          <w:ilvl w:val="0"/>
          <w:numId w:val="1"/>
        </w:numPr>
        <w:tabs>
          <w:tab w:val="left" w:pos="1336"/>
        </w:tabs>
        <w:spacing w:before="102"/>
        <w:ind w:left="1336" w:hanging="350"/>
        <w:rPr>
          <w:b/>
          <w:sz w:val="21"/>
        </w:rPr>
      </w:pPr>
      <w:r>
        <w:rPr>
          <w:b/>
          <w:color w:val="182D4A"/>
          <w:spacing w:val="-4"/>
          <w:sz w:val="21"/>
        </w:rPr>
        <w:t>Approval of Financial Assistance:</w:t>
      </w:r>
      <w:r>
        <w:rPr>
          <w:b/>
          <w:sz w:val="21"/>
        </w:rPr>
        <w:t xml:space="preserve"> </w:t>
      </w:r>
      <w:r>
        <w:rPr>
          <w:sz w:val="21"/>
        </w:rPr>
        <w:t>If a patient is deemed eligible for financial assistance all eligible outstanding balances will be updated based on the approved discount or waived. A Financial Assistance Award Letter will be provided to patient</w:t>
      </w:r>
      <w:r w:rsidR="00DC4FB2">
        <w:rPr>
          <w:sz w:val="21"/>
        </w:rPr>
        <w:t xml:space="preserve"> along with updated billing statements</w:t>
      </w:r>
      <w:r w:rsidR="00E01BE1">
        <w:rPr>
          <w:sz w:val="21"/>
        </w:rPr>
        <w:t>, if applicable</w:t>
      </w:r>
      <w:r w:rsidR="00DC4FB2">
        <w:rPr>
          <w:sz w:val="21"/>
        </w:rPr>
        <w:t>.</w:t>
      </w:r>
      <w:r w:rsidR="002A5F6D">
        <w:rPr>
          <w:sz w:val="21"/>
        </w:rPr>
        <w:t xml:space="preserve"> </w:t>
      </w:r>
    </w:p>
    <w:p w14:paraId="145BB122" w14:textId="5D6D77FC" w:rsidR="00E01BE1" w:rsidRDefault="00E01BE1" w:rsidP="00897C74">
      <w:pPr>
        <w:pStyle w:val="ListParagraph"/>
        <w:tabs>
          <w:tab w:val="left" w:pos="1336"/>
        </w:tabs>
        <w:spacing w:before="102"/>
        <w:ind w:left="1336" w:firstLine="0"/>
        <w:rPr>
          <w:sz w:val="21"/>
        </w:rPr>
      </w:pPr>
      <w:r w:rsidRPr="00E01BE1">
        <w:rPr>
          <w:sz w:val="21"/>
        </w:rPr>
        <w:t>Individuals with Family Income at or below 400% of the FPL who otherwise meet the requirements of this Policy will receive Financial Assistance according to the following minimum discount schedule:</w:t>
      </w:r>
    </w:p>
    <w:p w14:paraId="4BA0E56C" w14:textId="252A475C" w:rsidR="00E01BE1" w:rsidRDefault="00E01BE1" w:rsidP="00897C74">
      <w:pPr>
        <w:pStyle w:val="ListParagraph"/>
        <w:tabs>
          <w:tab w:val="left" w:pos="1336"/>
        </w:tabs>
        <w:spacing w:before="102"/>
        <w:ind w:left="1336" w:firstLine="0"/>
        <w:rPr>
          <w:sz w:val="21"/>
        </w:rPr>
      </w:pPr>
      <w:r w:rsidRPr="00E01BE1">
        <w:rPr>
          <w:sz w:val="21"/>
        </w:rPr>
        <w:t>TBHC may provide greater discounts to eligible patients and/or provide Financial Assistance to patients at income levels above 400% FPL.</w:t>
      </w:r>
    </w:p>
    <w:p w14:paraId="62006DCF" w14:textId="77777777" w:rsidR="00164DB5" w:rsidRDefault="00164DB5" w:rsidP="00897C74">
      <w:pPr>
        <w:pStyle w:val="ListParagraph"/>
        <w:tabs>
          <w:tab w:val="left" w:pos="1336"/>
        </w:tabs>
        <w:spacing w:before="102"/>
        <w:ind w:left="1336" w:firstLine="0"/>
        <w:rPr>
          <w:sz w:val="21"/>
        </w:rPr>
      </w:pPr>
    </w:p>
    <w:tbl>
      <w:tblPr>
        <w:tblStyle w:val="TableGrid"/>
        <w:tblW w:w="0" w:type="auto"/>
        <w:jc w:val="right"/>
        <w:tblLook w:val="04A0" w:firstRow="1" w:lastRow="0" w:firstColumn="1" w:lastColumn="0" w:noHBand="0" w:noVBand="1"/>
      </w:tblPr>
      <w:tblGrid>
        <w:gridCol w:w="1265"/>
        <w:gridCol w:w="4104"/>
        <w:gridCol w:w="4104"/>
      </w:tblGrid>
      <w:tr w:rsidR="00E01BE1" w14:paraId="19E850ED" w14:textId="77777777" w:rsidTr="00D459D8">
        <w:trPr>
          <w:jc w:val="right"/>
        </w:trPr>
        <w:tc>
          <w:tcPr>
            <w:tcW w:w="1265" w:type="dxa"/>
            <w:shd w:val="clear" w:color="auto" w:fill="D9EAF7"/>
            <w:vAlign w:val="center"/>
          </w:tcPr>
          <w:p w14:paraId="5109305B" w14:textId="77777777" w:rsidR="00E01BE1" w:rsidRDefault="00E01BE1" w:rsidP="00962401">
            <w:r>
              <w:rPr>
                <w:rFonts w:ascii="Arial" w:hAnsi="Arial"/>
                <w:b/>
                <w:sz w:val="16"/>
              </w:rPr>
              <w:t>Family Income</w:t>
            </w:r>
          </w:p>
        </w:tc>
        <w:tc>
          <w:tcPr>
            <w:tcW w:w="4104" w:type="dxa"/>
            <w:shd w:val="clear" w:color="auto" w:fill="D9EAF7"/>
            <w:vAlign w:val="center"/>
          </w:tcPr>
          <w:p w14:paraId="68910074" w14:textId="77777777" w:rsidR="00E01BE1" w:rsidRDefault="00E01BE1" w:rsidP="00962401">
            <w:r>
              <w:rPr>
                <w:rFonts w:ascii="Arial" w:hAnsi="Arial"/>
                <w:b/>
                <w:sz w:val="16"/>
              </w:rPr>
              <w:t>Uninsured Patients</w:t>
            </w:r>
          </w:p>
        </w:tc>
        <w:tc>
          <w:tcPr>
            <w:tcW w:w="4104" w:type="dxa"/>
            <w:shd w:val="clear" w:color="auto" w:fill="D9EAF7"/>
            <w:vAlign w:val="center"/>
          </w:tcPr>
          <w:p w14:paraId="1DCB437A" w14:textId="77777777" w:rsidR="00E01BE1" w:rsidRDefault="00E01BE1" w:rsidP="00962401">
            <w:r>
              <w:rPr>
                <w:rFonts w:ascii="Arial" w:hAnsi="Arial"/>
                <w:b/>
                <w:sz w:val="16"/>
              </w:rPr>
              <w:t>Underinsured Patients</w:t>
            </w:r>
          </w:p>
        </w:tc>
      </w:tr>
      <w:tr w:rsidR="00E01BE1" w14:paraId="7A1AFE85" w14:textId="77777777" w:rsidTr="00D459D8">
        <w:trPr>
          <w:jc w:val="right"/>
        </w:trPr>
        <w:tc>
          <w:tcPr>
            <w:tcW w:w="1265" w:type="dxa"/>
            <w:vAlign w:val="center"/>
          </w:tcPr>
          <w:p w14:paraId="00755105" w14:textId="77777777" w:rsidR="00E01BE1" w:rsidRDefault="00E01BE1" w:rsidP="00962401">
            <w:r>
              <w:rPr>
                <w:rFonts w:ascii="Arial" w:hAnsi="Arial"/>
                <w:sz w:val="16"/>
              </w:rPr>
              <w:t>Below 200% FPL</w:t>
            </w:r>
          </w:p>
        </w:tc>
        <w:tc>
          <w:tcPr>
            <w:tcW w:w="4104" w:type="dxa"/>
            <w:vAlign w:val="center"/>
          </w:tcPr>
          <w:p w14:paraId="2FB1D3C8" w14:textId="77777777" w:rsidR="00E01BE1" w:rsidRPr="00D459D8" w:rsidRDefault="00E01BE1" w:rsidP="00D459D8">
            <w:pPr>
              <w:rPr>
                <w:rFonts w:ascii="Arial" w:hAnsi="Arial"/>
                <w:sz w:val="16"/>
              </w:rPr>
            </w:pPr>
            <w:r>
              <w:rPr>
                <w:rFonts w:ascii="Arial" w:hAnsi="Arial"/>
                <w:sz w:val="16"/>
              </w:rPr>
              <w:t>Waive all charges. No nominal payment will be collected.</w:t>
            </w:r>
          </w:p>
        </w:tc>
        <w:tc>
          <w:tcPr>
            <w:tcW w:w="4104" w:type="dxa"/>
            <w:vAlign w:val="center"/>
          </w:tcPr>
          <w:p w14:paraId="54166484" w14:textId="77777777" w:rsidR="00E01BE1" w:rsidRDefault="00E01BE1" w:rsidP="00D459D8">
            <w:r>
              <w:rPr>
                <w:rFonts w:ascii="Arial" w:hAnsi="Arial"/>
                <w:sz w:val="16"/>
              </w:rPr>
              <w:t>Waive all eligible patient responsibility. No nominal payment will be collected.</w:t>
            </w:r>
          </w:p>
        </w:tc>
      </w:tr>
      <w:tr w:rsidR="00E01BE1" w14:paraId="12AA60B0" w14:textId="77777777" w:rsidTr="00D459D8">
        <w:trPr>
          <w:trHeight w:val="752"/>
          <w:jc w:val="right"/>
        </w:trPr>
        <w:tc>
          <w:tcPr>
            <w:tcW w:w="1265" w:type="dxa"/>
            <w:vAlign w:val="center"/>
          </w:tcPr>
          <w:p w14:paraId="78A31F50" w14:textId="77777777" w:rsidR="00E01BE1" w:rsidRDefault="00E01BE1" w:rsidP="00962401">
            <w:r>
              <w:rPr>
                <w:rFonts w:ascii="Arial" w:hAnsi="Arial"/>
                <w:sz w:val="16"/>
              </w:rPr>
              <w:t>200% - 300% FPL</w:t>
            </w:r>
          </w:p>
        </w:tc>
        <w:tc>
          <w:tcPr>
            <w:tcW w:w="4104" w:type="dxa"/>
            <w:vAlign w:val="center"/>
          </w:tcPr>
          <w:p w14:paraId="0A50F523" w14:textId="77777777" w:rsidR="00D459D8" w:rsidRPr="00D459D8" w:rsidRDefault="00D459D8" w:rsidP="00D459D8">
            <w:pPr>
              <w:rPr>
                <w:rFonts w:ascii="Arial" w:hAnsi="Arial"/>
                <w:sz w:val="16"/>
              </w:rPr>
            </w:pPr>
            <w:r w:rsidRPr="00D459D8">
              <w:rPr>
                <w:rFonts w:ascii="Arial" w:hAnsi="Arial"/>
                <w:sz w:val="16"/>
              </w:rPr>
              <w:t>Uninsured patients: Sliding scale up to 10% of the amount that would have been paid for the service(s) by Medicaid.</w:t>
            </w:r>
          </w:p>
          <w:p w14:paraId="24F52897" w14:textId="73D9EC73" w:rsidR="00E01BE1" w:rsidRPr="00D459D8" w:rsidRDefault="00E01BE1" w:rsidP="00D459D8">
            <w:pPr>
              <w:rPr>
                <w:rFonts w:ascii="Arial" w:hAnsi="Arial"/>
                <w:sz w:val="16"/>
              </w:rPr>
            </w:pPr>
          </w:p>
        </w:tc>
        <w:tc>
          <w:tcPr>
            <w:tcW w:w="4104" w:type="dxa"/>
            <w:vAlign w:val="center"/>
          </w:tcPr>
          <w:p w14:paraId="6C22EB51" w14:textId="0ACBAA0D" w:rsidR="00E01BE1" w:rsidRDefault="00D459D8" w:rsidP="00D459D8">
            <w:r w:rsidRPr="00D459D8">
              <w:rPr>
                <w:rFonts w:ascii="Arial" w:hAnsi="Arial"/>
                <w:sz w:val="16"/>
              </w:rPr>
              <w:t>Underinsured patients: Up to a maximum of 10% of the amount that would have been paid pursuant to such patient's insurance cost sharing.</w:t>
            </w:r>
          </w:p>
        </w:tc>
      </w:tr>
      <w:tr w:rsidR="00E01BE1" w14:paraId="00B34165" w14:textId="77777777" w:rsidTr="00D459D8">
        <w:trPr>
          <w:jc w:val="right"/>
        </w:trPr>
        <w:tc>
          <w:tcPr>
            <w:tcW w:w="1265" w:type="dxa"/>
            <w:vAlign w:val="center"/>
          </w:tcPr>
          <w:p w14:paraId="2D4C06E5" w14:textId="77777777" w:rsidR="00E01BE1" w:rsidRDefault="00E01BE1" w:rsidP="00962401">
            <w:r>
              <w:rPr>
                <w:rFonts w:ascii="Arial" w:hAnsi="Arial"/>
                <w:sz w:val="16"/>
              </w:rPr>
              <w:t>301% - 400% FPL</w:t>
            </w:r>
          </w:p>
        </w:tc>
        <w:tc>
          <w:tcPr>
            <w:tcW w:w="4104" w:type="dxa"/>
            <w:vAlign w:val="center"/>
          </w:tcPr>
          <w:p w14:paraId="1F5FFB61" w14:textId="77777777" w:rsidR="00D459D8" w:rsidRPr="00D459D8" w:rsidRDefault="00D459D8" w:rsidP="00D459D8">
            <w:pPr>
              <w:rPr>
                <w:rFonts w:ascii="Arial" w:hAnsi="Arial"/>
                <w:sz w:val="16"/>
              </w:rPr>
            </w:pPr>
            <w:r w:rsidRPr="00D459D8">
              <w:rPr>
                <w:rFonts w:ascii="Arial" w:hAnsi="Arial"/>
                <w:sz w:val="16"/>
              </w:rPr>
              <w:t>Uninsured patients: Sliding scale up to 20% of the amount that would have been paid for the service(s) by Medicaid.</w:t>
            </w:r>
          </w:p>
          <w:p w14:paraId="58B1598E" w14:textId="106F781F" w:rsidR="00E01BE1" w:rsidRPr="00D459D8" w:rsidRDefault="00E01BE1" w:rsidP="00D459D8">
            <w:pPr>
              <w:rPr>
                <w:rFonts w:ascii="Arial" w:hAnsi="Arial"/>
                <w:sz w:val="16"/>
              </w:rPr>
            </w:pPr>
          </w:p>
        </w:tc>
        <w:tc>
          <w:tcPr>
            <w:tcW w:w="4104" w:type="dxa"/>
            <w:vAlign w:val="center"/>
          </w:tcPr>
          <w:p w14:paraId="26C578AD" w14:textId="42C77EA3" w:rsidR="00E01BE1" w:rsidRPr="00D459D8" w:rsidRDefault="00D459D8" w:rsidP="00D459D8">
            <w:pPr>
              <w:rPr>
                <w:rFonts w:ascii="Arial" w:hAnsi="Arial"/>
                <w:sz w:val="16"/>
              </w:rPr>
            </w:pPr>
            <w:r w:rsidRPr="00D459D8">
              <w:rPr>
                <w:rFonts w:ascii="Arial" w:hAnsi="Arial"/>
                <w:sz w:val="16"/>
              </w:rPr>
              <w:t>Underinsured patients: Up to a maximum of 20% of the amount that would have been paid pursuant to such patient's insurance cost sharing.</w:t>
            </w:r>
          </w:p>
        </w:tc>
      </w:tr>
    </w:tbl>
    <w:p w14:paraId="579F7161" w14:textId="06534ED8" w:rsidR="00E01BE1" w:rsidRPr="00897C74" w:rsidRDefault="00164DB5" w:rsidP="00897C74">
      <w:pPr>
        <w:pStyle w:val="ListParagraph"/>
        <w:tabs>
          <w:tab w:val="left" w:pos="1336"/>
        </w:tabs>
        <w:spacing w:before="102"/>
        <w:ind w:left="1336" w:firstLine="0"/>
        <w:rPr>
          <w:sz w:val="21"/>
        </w:rPr>
      </w:pPr>
      <w:r w:rsidRPr="00E01BE1">
        <w:rPr>
          <w:sz w:val="21"/>
        </w:rPr>
        <w:t>TBHC may provide greater discounts to eligible patients and/or provide Financial Assistance to patients at income levels above 400% FPL.</w:t>
      </w:r>
    </w:p>
    <w:p w14:paraId="69EE3CCD" w14:textId="7D6D2620" w:rsidR="00DC4FB2" w:rsidRPr="00897C74" w:rsidRDefault="00DC4FB2">
      <w:pPr>
        <w:pStyle w:val="ListParagraph"/>
        <w:numPr>
          <w:ilvl w:val="0"/>
          <w:numId w:val="1"/>
        </w:numPr>
        <w:tabs>
          <w:tab w:val="left" w:pos="1336"/>
        </w:tabs>
        <w:spacing w:before="102"/>
        <w:ind w:left="1336" w:hanging="350"/>
        <w:rPr>
          <w:b/>
          <w:sz w:val="21"/>
        </w:rPr>
      </w:pPr>
      <w:r>
        <w:rPr>
          <w:b/>
          <w:color w:val="182D4A"/>
          <w:spacing w:val="-4"/>
          <w:sz w:val="21"/>
        </w:rPr>
        <w:t>Incomplete</w:t>
      </w:r>
      <w:r w:rsidR="00E40A00">
        <w:rPr>
          <w:b/>
          <w:color w:val="182D4A"/>
          <w:spacing w:val="-4"/>
          <w:sz w:val="21"/>
        </w:rPr>
        <w:t xml:space="preserve"> Financial Assistance Application</w:t>
      </w:r>
      <w:r w:rsidR="00C20A7C">
        <w:rPr>
          <w:b/>
          <w:color w:val="182D4A"/>
          <w:spacing w:val="-4"/>
          <w:sz w:val="21"/>
        </w:rPr>
        <w:t xml:space="preserve">: </w:t>
      </w:r>
      <w:r w:rsidR="00C20A7C">
        <w:rPr>
          <w:color w:val="182D4A"/>
          <w:spacing w:val="-4"/>
          <w:sz w:val="21"/>
        </w:rPr>
        <w:t xml:space="preserve">TBHC will send written notification to </w:t>
      </w:r>
      <w:r w:rsidR="00164DB5">
        <w:rPr>
          <w:color w:val="182D4A"/>
          <w:spacing w:val="-4"/>
          <w:sz w:val="21"/>
        </w:rPr>
        <w:t xml:space="preserve">the </w:t>
      </w:r>
      <w:r w:rsidR="00C20A7C">
        <w:rPr>
          <w:color w:val="182D4A"/>
          <w:spacing w:val="-4"/>
          <w:sz w:val="21"/>
        </w:rPr>
        <w:t>patient of the additional information/documentation required to make a decision on the application. Patients should submit the additional information within 30 days of the notification.</w:t>
      </w:r>
    </w:p>
    <w:p w14:paraId="5F5C8F7C" w14:textId="005D76BF" w:rsidR="00164DB5" w:rsidRPr="00897C74" w:rsidRDefault="00164DB5" w:rsidP="00897C74">
      <w:pPr>
        <w:pStyle w:val="ListParagraph"/>
        <w:tabs>
          <w:tab w:val="left" w:pos="1336"/>
        </w:tabs>
        <w:spacing w:before="102"/>
        <w:ind w:left="1336" w:firstLine="0"/>
        <w:rPr>
          <w:sz w:val="21"/>
        </w:rPr>
      </w:pPr>
      <w:r w:rsidRPr="00164DB5">
        <w:rPr>
          <w:sz w:val="21"/>
        </w:rPr>
        <w:t>TBHC will provide the patient a reasonable opportunity to submit missing information or documentation.</w:t>
      </w:r>
    </w:p>
    <w:p w14:paraId="453E89BE" w14:textId="0AB385A7" w:rsidR="00164DB5" w:rsidRDefault="00C20A7C" w:rsidP="002017DA">
      <w:pPr>
        <w:pStyle w:val="ListParagraph"/>
        <w:numPr>
          <w:ilvl w:val="0"/>
          <w:numId w:val="1"/>
        </w:numPr>
        <w:tabs>
          <w:tab w:val="left" w:pos="1336"/>
        </w:tabs>
        <w:spacing w:before="102"/>
        <w:ind w:left="1336" w:hanging="350"/>
        <w:rPr>
          <w:sz w:val="21"/>
        </w:rPr>
      </w:pPr>
      <w:r>
        <w:rPr>
          <w:b/>
          <w:color w:val="182D4A"/>
          <w:spacing w:val="-4"/>
          <w:sz w:val="21"/>
        </w:rPr>
        <w:t>Appeals for Financial Assistance Determination:</w:t>
      </w:r>
      <w:r>
        <w:rPr>
          <w:b/>
          <w:sz w:val="21"/>
        </w:rPr>
        <w:t xml:space="preserve"> </w:t>
      </w:r>
      <w:r>
        <w:rPr>
          <w:sz w:val="21"/>
        </w:rPr>
        <w:t xml:space="preserve">If the patient is dissatisfied </w:t>
      </w:r>
      <w:r w:rsidR="00164DB5">
        <w:rPr>
          <w:sz w:val="21"/>
        </w:rPr>
        <w:t xml:space="preserve">with a Financial Assistance determination, the patient submit </w:t>
      </w:r>
      <w:r>
        <w:rPr>
          <w:sz w:val="21"/>
        </w:rPr>
        <w:t xml:space="preserve">an appeal in writing within 30 days of the determination. </w:t>
      </w:r>
      <w:r w:rsidR="00164DB5">
        <w:rPr>
          <w:sz w:val="21"/>
        </w:rPr>
        <w:t xml:space="preserve">TBHC will review </w:t>
      </w:r>
      <w:r>
        <w:rPr>
          <w:sz w:val="21"/>
        </w:rPr>
        <w:t xml:space="preserve">the appeal and a decision </w:t>
      </w:r>
      <w:r w:rsidR="00164DB5">
        <w:rPr>
          <w:sz w:val="21"/>
        </w:rPr>
        <w:t>and issue a decision within</w:t>
      </w:r>
      <w:r>
        <w:rPr>
          <w:sz w:val="21"/>
        </w:rPr>
        <w:t xml:space="preserve"> 30 days of </w:t>
      </w:r>
      <w:r w:rsidR="00164DB5">
        <w:rPr>
          <w:sz w:val="21"/>
        </w:rPr>
        <w:t>receipt of the</w:t>
      </w:r>
      <w:r>
        <w:rPr>
          <w:sz w:val="21"/>
        </w:rPr>
        <w:t xml:space="preserve"> appeal.</w:t>
      </w:r>
    </w:p>
    <w:p w14:paraId="1ED85F4F" w14:textId="3CCFE974" w:rsidR="00164DB5" w:rsidRPr="00897C74" w:rsidRDefault="00164DB5" w:rsidP="00897C74">
      <w:pPr>
        <w:pStyle w:val="ListParagraph"/>
        <w:tabs>
          <w:tab w:val="left" w:pos="1336"/>
        </w:tabs>
        <w:spacing w:before="102"/>
        <w:ind w:left="1336" w:firstLine="0"/>
        <w:rPr>
          <w:sz w:val="21"/>
        </w:rPr>
      </w:pPr>
      <w:r w:rsidRPr="00164DB5">
        <w:rPr>
          <w:sz w:val="21"/>
        </w:rPr>
        <w:t>A written notice denying Financial Assistance, in whole or in part, will include information explaining the patient's right to appeal and instructions describing how the patient may submit an appeal.</w:t>
      </w:r>
    </w:p>
    <w:p w14:paraId="739F679A" w14:textId="36BB31BD" w:rsidR="00DD56C0" w:rsidRDefault="00742B2A" w:rsidP="00897C74">
      <w:pPr>
        <w:pStyle w:val="ListParagraph"/>
        <w:tabs>
          <w:tab w:val="left" w:pos="1336"/>
        </w:tabs>
        <w:spacing w:before="102"/>
        <w:ind w:left="1336" w:firstLine="0"/>
        <w:rPr>
          <w:sz w:val="21"/>
        </w:rPr>
      </w:pPr>
      <w:r>
        <w:rPr>
          <w:sz w:val="21"/>
        </w:rPr>
        <w:t xml:space="preserve">Patients </w:t>
      </w:r>
      <w:r w:rsidRPr="00742B2A">
        <w:rPr>
          <w:sz w:val="21"/>
        </w:rPr>
        <w:t>may also call the New York State Department of Health at </w:t>
      </w:r>
      <w:hyperlink r:id="rId8" w:history="1">
        <w:r w:rsidRPr="00742B2A">
          <w:rPr>
            <w:sz w:val="21"/>
          </w:rPr>
          <w:t>518-402-6993</w:t>
        </w:r>
      </w:hyperlink>
      <w:r w:rsidRPr="00742B2A">
        <w:rPr>
          <w:sz w:val="21"/>
        </w:rPr>
        <w:t> or </w:t>
      </w:r>
      <w:hyperlink r:id="rId9" w:history="1">
        <w:r w:rsidRPr="00742B2A">
          <w:rPr>
            <w:sz w:val="21"/>
          </w:rPr>
          <w:t>800-804-5447</w:t>
        </w:r>
      </w:hyperlink>
      <w:r w:rsidRPr="00742B2A">
        <w:rPr>
          <w:sz w:val="21"/>
        </w:rPr>
        <w:t>.</w:t>
      </w:r>
    </w:p>
    <w:p w14:paraId="637BFE1C" w14:textId="272DA281" w:rsidR="00164DB5" w:rsidRDefault="00164DB5" w:rsidP="00897C74">
      <w:pPr>
        <w:pStyle w:val="ListParagraph"/>
        <w:tabs>
          <w:tab w:val="left" w:pos="1336"/>
        </w:tabs>
        <w:spacing w:before="102"/>
        <w:ind w:left="1336" w:firstLine="0"/>
        <w:rPr>
          <w:sz w:val="21"/>
        </w:rPr>
      </w:pPr>
      <w:r w:rsidRPr="00164DB5">
        <w:rPr>
          <w:sz w:val="21"/>
        </w:rPr>
        <w:lastRenderedPageBreak/>
        <w:t>Patients who need additional assistance with an application or with appealing a Financial Assistance determination may contact Community Health Advocates at 888-614-5400.</w:t>
      </w:r>
    </w:p>
    <w:p w14:paraId="455664B3" w14:textId="56F5E0EC" w:rsidR="00810A71" w:rsidRDefault="00810A71" w:rsidP="002017DA">
      <w:pPr>
        <w:pStyle w:val="ListParagraph"/>
        <w:numPr>
          <w:ilvl w:val="0"/>
          <w:numId w:val="1"/>
        </w:numPr>
        <w:tabs>
          <w:tab w:val="left" w:pos="1336"/>
        </w:tabs>
        <w:spacing w:before="102"/>
        <w:ind w:left="1336" w:hanging="350"/>
        <w:rPr>
          <w:sz w:val="21"/>
        </w:rPr>
      </w:pPr>
      <w:r>
        <w:rPr>
          <w:b/>
          <w:color w:val="182D4A"/>
          <w:spacing w:val="-4"/>
          <w:sz w:val="21"/>
        </w:rPr>
        <w:t>Eligibility Period:</w:t>
      </w:r>
      <w:r>
        <w:rPr>
          <w:sz w:val="21"/>
        </w:rPr>
        <w:t xml:space="preserve"> Approved financial assistance discounts will be effective for 1 year from the date of determination. After the termination period</w:t>
      </w:r>
      <w:r w:rsidR="004D3322">
        <w:rPr>
          <w:sz w:val="21"/>
        </w:rPr>
        <w:t>,</w:t>
      </w:r>
      <w:r>
        <w:rPr>
          <w:sz w:val="21"/>
        </w:rPr>
        <w:t xml:space="preserve"> the patient will need to re-apply and provide updated documents. The patient</w:t>
      </w:r>
      <w:r w:rsidR="004D3322">
        <w:rPr>
          <w:sz w:val="21"/>
        </w:rPr>
        <w:t>,</w:t>
      </w:r>
      <w:r w:rsidR="00F96C1F">
        <w:rPr>
          <w:sz w:val="21"/>
        </w:rPr>
        <w:t xml:space="preserve"> </w:t>
      </w:r>
      <w:r>
        <w:rPr>
          <w:sz w:val="21"/>
        </w:rPr>
        <w:t>however</w:t>
      </w:r>
      <w:r w:rsidR="004D3322">
        <w:rPr>
          <w:sz w:val="21"/>
        </w:rPr>
        <w:t>,</w:t>
      </w:r>
      <w:r>
        <w:rPr>
          <w:sz w:val="21"/>
        </w:rPr>
        <w:t xml:space="preserve"> will still be responsible to report any change in circumstances including but not limited to income, residence or family size. </w:t>
      </w:r>
    </w:p>
    <w:p w14:paraId="1E61F448" w14:textId="427F81D3" w:rsidR="004C1F9F" w:rsidRDefault="00E40A00" w:rsidP="004D3322">
      <w:pPr>
        <w:pStyle w:val="ListParagraph"/>
        <w:numPr>
          <w:ilvl w:val="0"/>
          <w:numId w:val="1"/>
        </w:numPr>
        <w:tabs>
          <w:tab w:val="left" w:pos="1336"/>
          <w:tab w:val="left" w:pos="1338"/>
        </w:tabs>
        <w:spacing w:before="178" w:line="268" w:lineRule="auto"/>
        <w:ind w:right="152"/>
        <w:rPr>
          <w:sz w:val="21"/>
        </w:rPr>
      </w:pPr>
      <w:r w:rsidRPr="00831AE4">
        <w:rPr>
          <w:b/>
          <w:color w:val="182D4A"/>
          <w:spacing w:val="-4"/>
          <w:sz w:val="21"/>
        </w:rPr>
        <w:t>Presumptive Financial Assistance Eligibility</w:t>
      </w:r>
      <w:r w:rsidR="00831AE4">
        <w:rPr>
          <w:b/>
          <w:color w:val="182D4A"/>
          <w:spacing w:val="-4"/>
          <w:sz w:val="21"/>
        </w:rPr>
        <w:t>:</w:t>
      </w:r>
      <w:r>
        <w:rPr>
          <w:color w:val="182D4A"/>
          <w:spacing w:val="-9"/>
          <w:sz w:val="21"/>
        </w:rPr>
        <w:t xml:space="preserve"> </w:t>
      </w:r>
      <w:r w:rsidR="004D3322" w:rsidRPr="004D3322">
        <w:rPr>
          <w:sz w:val="21"/>
        </w:rPr>
        <w:t>: Patients with Family Income below 400% of the FPL shall be deemed presumptively eligible for Financial Assistance and shall receive payment adjustments in accordance with the discount schedule set forth in Section II.D of this Policy.</w:t>
      </w:r>
    </w:p>
    <w:p w14:paraId="5DE2FFF2" w14:textId="355A3899" w:rsidR="00DD56C0" w:rsidRDefault="002C7D93" w:rsidP="00897C74">
      <w:pPr>
        <w:pStyle w:val="ListParagraph"/>
        <w:numPr>
          <w:ilvl w:val="0"/>
          <w:numId w:val="1"/>
        </w:numPr>
        <w:tabs>
          <w:tab w:val="left" w:pos="1336"/>
          <w:tab w:val="left" w:pos="1338"/>
        </w:tabs>
        <w:spacing w:before="111" w:line="268" w:lineRule="auto"/>
        <w:ind w:right="231"/>
      </w:pPr>
      <w:r w:rsidRPr="002C7D93">
        <w:rPr>
          <w:b/>
          <w:color w:val="182D4A"/>
          <w:sz w:val="21"/>
        </w:rPr>
        <w:t xml:space="preserve">Federal Poverty </w:t>
      </w:r>
      <w:r w:rsidR="00724959">
        <w:rPr>
          <w:b/>
          <w:color w:val="182D4A"/>
          <w:sz w:val="21"/>
        </w:rPr>
        <w:t>Levels</w:t>
      </w:r>
      <w:r w:rsidRPr="002C7D93">
        <w:rPr>
          <w:b/>
          <w:color w:val="182D4A"/>
          <w:sz w:val="21"/>
        </w:rPr>
        <w:t>:</w:t>
      </w:r>
      <w:r>
        <w:rPr>
          <w:color w:val="182D4A"/>
          <w:sz w:val="21"/>
        </w:rPr>
        <w:t xml:space="preserve"> TBHC will apply income eligibility guidelines for this policy on the Federal Poverty Levels (FPL) effective on the date of the application. These amounts can be found </w:t>
      </w:r>
      <w:r w:rsidR="004D3322" w:rsidRPr="004D3322">
        <w:rPr>
          <w:color w:val="182D4A"/>
          <w:sz w:val="21"/>
        </w:rPr>
        <w:t>in the Federal Poverty Guidelines published annually by the United States Department of Health and Human Services.</w:t>
      </w:r>
      <w:r w:rsidR="004D3322">
        <w:rPr>
          <w:color w:val="182D4A"/>
          <w:sz w:val="21"/>
        </w:rPr>
        <w:t xml:space="preserve"> </w:t>
      </w:r>
      <w:hyperlink r:id="rId10" w:history="1">
        <w:r w:rsidRPr="00F75459">
          <w:rPr>
            <w:rStyle w:val="Hyperlink"/>
            <w:sz w:val="21"/>
          </w:rPr>
          <w:t>https://aspe.hhs.gov/topics/poverty-economic-mobility/poverty-guidelines</w:t>
        </w:r>
      </w:hyperlink>
      <w:r>
        <w:rPr>
          <w:color w:val="182D4A"/>
          <w:sz w:val="21"/>
        </w:rPr>
        <w:t xml:space="preserve">. </w:t>
      </w:r>
    </w:p>
    <w:p w14:paraId="6881E252" w14:textId="49147961" w:rsidR="00A56F00" w:rsidRDefault="00A56F00" w:rsidP="004D3322">
      <w:pPr>
        <w:pStyle w:val="BodyText"/>
        <w:numPr>
          <w:ilvl w:val="0"/>
          <w:numId w:val="1"/>
        </w:numPr>
        <w:spacing w:before="111"/>
      </w:pPr>
      <w:r w:rsidRPr="00A56F00">
        <w:rPr>
          <w:b/>
        </w:rPr>
        <w:t>Payment Deposits</w:t>
      </w:r>
      <w:r>
        <w:t xml:space="preserve">: Any deposit </w:t>
      </w:r>
      <w:r w:rsidR="004D3322" w:rsidRPr="004D3322">
        <w:t>required for non-emergent medically necessary care shall be included as part of the patient's Financial Assistance consideration. Any deposit made by a patient will be deducted from the patient's discounted bill. If the patient qualifies for all charges to be waived, the deposit will be refunded to the patient.</w:t>
      </w:r>
    </w:p>
    <w:p w14:paraId="59D443D9" w14:textId="1ED236E3" w:rsidR="00A56F00" w:rsidRDefault="00A56F00" w:rsidP="004D3322">
      <w:pPr>
        <w:pStyle w:val="BodyText"/>
        <w:numPr>
          <w:ilvl w:val="0"/>
          <w:numId w:val="1"/>
        </w:numPr>
        <w:spacing w:before="111"/>
      </w:pPr>
      <w:r>
        <w:rPr>
          <w:b/>
        </w:rPr>
        <w:t>Payment Plans</w:t>
      </w:r>
      <w:r w:rsidRPr="00A56F00">
        <w:t>:</w:t>
      </w:r>
      <w:r>
        <w:t xml:space="preserve"> </w:t>
      </w:r>
      <w:r w:rsidR="004D3322" w:rsidRPr="004D3322">
        <w:t xml:space="preserve">TBHC will make installment payment plans available to patients for the payment of outstanding balances pursuant to this Policy. </w:t>
      </w:r>
      <w:r w:rsidR="004D3322">
        <w:t xml:space="preserve">The monthly payment under such a plan shall </w:t>
      </w:r>
      <w:r>
        <w:t>not exceed 5% of patient’s</w:t>
      </w:r>
      <w:r w:rsidR="004D3322">
        <w:t xml:space="preserve"> gross monthly </w:t>
      </w:r>
      <w:r>
        <w:t xml:space="preserve">income. </w:t>
      </w:r>
    </w:p>
    <w:p w14:paraId="3F3BB06D" w14:textId="77777777" w:rsidR="003C4544" w:rsidRPr="003C4544" w:rsidRDefault="002A5F6D" w:rsidP="003C4544">
      <w:pPr>
        <w:pStyle w:val="ListParagraph"/>
        <w:numPr>
          <w:ilvl w:val="0"/>
          <w:numId w:val="1"/>
        </w:numPr>
        <w:tabs>
          <w:tab w:val="left" w:pos="1336"/>
          <w:tab w:val="left" w:pos="1338"/>
        </w:tabs>
        <w:spacing w:before="177" w:line="268" w:lineRule="auto"/>
        <w:ind w:right="119"/>
        <w:rPr>
          <w:sz w:val="21"/>
        </w:rPr>
      </w:pPr>
      <w:r w:rsidRPr="002A5F6D">
        <w:rPr>
          <w:b/>
          <w:color w:val="182D4A"/>
          <w:sz w:val="21"/>
        </w:rPr>
        <w:t>Communication of Financial Assistance Availability and Policy</w:t>
      </w:r>
      <w:r>
        <w:rPr>
          <w:color w:val="182D4A"/>
          <w:sz w:val="21"/>
        </w:rPr>
        <w:t xml:space="preserve">: TBHC </w:t>
      </w:r>
      <w:r w:rsidR="003C4544">
        <w:rPr>
          <w:color w:val="182D4A"/>
          <w:sz w:val="21"/>
        </w:rPr>
        <w:t xml:space="preserve">will publicize this Policy; on Hospital Website at </w:t>
      </w:r>
      <w:hyperlink r:id="rId11" w:history="1">
        <w:r w:rsidR="003C4544" w:rsidRPr="005F517B">
          <w:rPr>
            <w:rStyle w:val="Hyperlink"/>
            <w:sz w:val="21"/>
          </w:rPr>
          <w:t>https://www.tbh.org/visitor-information/billing/financial-assistance</w:t>
        </w:r>
      </w:hyperlink>
      <w:r w:rsidR="003C4544">
        <w:rPr>
          <w:color w:val="182D4A"/>
          <w:sz w:val="21"/>
        </w:rPr>
        <w:t xml:space="preserve"> along with the Financial Assistance application and the Plain Language Summary; offering notices via the registration/discharge process; posting signs in public areas such as waiting rooms, clinic areas, registration areas and other areas; notifying members of the community</w:t>
      </w:r>
      <w:r w:rsidR="00CE0ACA">
        <w:rPr>
          <w:color w:val="182D4A"/>
          <w:sz w:val="21"/>
        </w:rPr>
        <w:t xml:space="preserve"> served by TBHC, via notices on billing statements.</w:t>
      </w:r>
    </w:p>
    <w:p w14:paraId="6FEC2235" w14:textId="77777777" w:rsidR="00DD56C0" w:rsidRDefault="00E40A00">
      <w:pPr>
        <w:pStyle w:val="ListParagraph"/>
        <w:numPr>
          <w:ilvl w:val="0"/>
          <w:numId w:val="1"/>
        </w:numPr>
        <w:tabs>
          <w:tab w:val="left" w:pos="1336"/>
          <w:tab w:val="left" w:pos="1338"/>
        </w:tabs>
        <w:spacing w:before="98" w:line="268" w:lineRule="auto"/>
        <w:ind w:right="110" w:hanging="358"/>
        <w:rPr>
          <w:sz w:val="21"/>
        </w:rPr>
      </w:pPr>
      <w:r w:rsidRPr="00CE0ACA">
        <w:rPr>
          <w:b/>
          <w:color w:val="182D4A"/>
          <w:sz w:val="21"/>
        </w:rPr>
        <w:t>Relationship</w:t>
      </w:r>
      <w:r w:rsidRPr="00CE0ACA">
        <w:rPr>
          <w:b/>
          <w:color w:val="182D4A"/>
          <w:spacing w:val="-3"/>
          <w:sz w:val="21"/>
        </w:rPr>
        <w:t xml:space="preserve"> </w:t>
      </w:r>
      <w:r w:rsidRPr="00CE0ACA">
        <w:rPr>
          <w:b/>
          <w:color w:val="182D4A"/>
          <w:sz w:val="21"/>
        </w:rPr>
        <w:t>to</w:t>
      </w:r>
      <w:r w:rsidRPr="00CE0ACA">
        <w:rPr>
          <w:b/>
          <w:color w:val="182D4A"/>
          <w:spacing w:val="-3"/>
          <w:sz w:val="21"/>
        </w:rPr>
        <w:t xml:space="preserve"> </w:t>
      </w:r>
      <w:r w:rsidRPr="00CE0ACA">
        <w:rPr>
          <w:b/>
          <w:color w:val="182D4A"/>
          <w:sz w:val="21"/>
        </w:rPr>
        <w:t>Collection</w:t>
      </w:r>
      <w:r w:rsidRPr="00CE0ACA">
        <w:rPr>
          <w:b/>
          <w:color w:val="182D4A"/>
          <w:spacing w:val="-3"/>
          <w:sz w:val="21"/>
        </w:rPr>
        <w:t xml:space="preserve"> </w:t>
      </w:r>
      <w:r w:rsidRPr="00CE0ACA">
        <w:rPr>
          <w:b/>
          <w:color w:val="182D4A"/>
          <w:sz w:val="21"/>
        </w:rPr>
        <w:t>Policies</w:t>
      </w:r>
      <w:r w:rsidR="00CE0ACA">
        <w:rPr>
          <w:b/>
          <w:color w:val="182D4A"/>
          <w:sz w:val="21"/>
        </w:rPr>
        <w:t>:</w:t>
      </w:r>
      <w:r>
        <w:rPr>
          <w:color w:val="182D4A"/>
          <w:spacing w:val="-3"/>
          <w:sz w:val="21"/>
        </w:rPr>
        <w:t xml:space="preserve"> </w:t>
      </w:r>
      <w:r w:rsidR="00CE0ACA">
        <w:rPr>
          <w:color w:val="182D4A"/>
          <w:sz w:val="21"/>
        </w:rPr>
        <w:t>TBHC has</w:t>
      </w:r>
      <w:r>
        <w:rPr>
          <w:color w:val="182D4A"/>
          <w:spacing w:val="-3"/>
          <w:sz w:val="21"/>
        </w:rPr>
        <w:t xml:space="preserve"> </w:t>
      </w:r>
      <w:r>
        <w:rPr>
          <w:color w:val="182D4A"/>
          <w:sz w:val="21"/>
        </w:rPr>
        <w:t>developed</w:t>
      </w:r>
      <w:r>
        <w:rPr>
          <w:color w:val="182D4A"/>
          <w:spacing w:val="-3"/>
          <w:sz w:val="21"/>
        </w:rPr>
        <w:t xml:space="preserve"> </w:t>
      </w:r>
      <w:r>
        <w:rPr>
          <w:color w:val="182D4A"/>
          <w:sz w:val="21"/>
        </w:rPr>
        <w:t>procedures</w:t>
      </w:r>
      <w:r>
        <w:rPr>
          <w:color w:val="182D4A"/>
          <w:spacing w:val="-3"/>
          <w:sz w:val="21"/>
        </w:rPr>
        <w:t xml:space="preserve"> </w:t>
      </w:r>
      <w:r>
        <w:rPr>
          <w:color w:val="182D4A"/>
          <w:sz w:val="21"/>
        </w:rPr>
        <w:t>for</w:t>
      </w:r>
      <w:r>
        <w:rPr>
          <w:color w:val="182D4A"/>
          <w:spacing w:val="-3"/>
          <w:sz w:val="21"/>
        </w:rPr>
        <w:t xml:space="preserve"> </w:t>
      </w:r>
      <w:r>
        <w:rPr>
          <w:color w:val="182D4A"/>
          <w:sz w:val="21"/>
        </w:rPr>
        <w:t xml:space="preserve">internal </w:t>
      </w:r>
      <w:r>
        <w:rPr>
          <w:color w:val="182D4A"/>
          <w:spacing w:val="-4"/>
          <w:sz w:val="21"/>
        </w:rPr>
        <w:t>and</w:t>
      </w:r>
      <w:r>
        <w:rPr>
          <w:color w:val="182D4A"/>
          <w:spacing w:val="-9"/>
          <w:sz w:val="21"/>
        </w:rPr>
        <w:t xml:space="preserve"> </w:t>
      </w:r>
      <w:r>
        <w:rPr>
          <w:color w:val="182D4A"/>
          <w:spacing w:val="-4"/>
          <w:sz w:val="21"/>
        </w:rPr>
        <w:t>external</w:t>
      </w:r>
      <w:r>
        <w:rPr>
          <w:color w:val="182D4A"/>
          <w:spacing w:val="-9"/>
          <w:sz w:val="21"/>
        </w:rPr>
        <w:t xml:space="preserve"> </w:t>
      </w:r>
      <w:r>
        <w:rPr>
          <w:color w:val="182D4A"/>
          <w:spacing w:val="-4"/>
          <w:sz w:val="21"/>
        </w:rPr>
        <w:t>collection</w:t>
      </w:r>
      <w:r>
        <w:rPr>
          <w:color w:val="182D4A"/>
          <w:spacing w:val="-5"/>
          <w:sz w:val="21"/>
        </w:rPr>
        <w:t xml:space="preserve"> </w:t>
      </w:r>
      <w:r>
        <w:rPr>
          <w:color w:val="182D4A"/>
          <w:spacing w:val="-4"/>
          <w:sz w:val="21"/>
        </w:rPr>
        <w:t>practices</w:t>
      </w:r>
      <w:r>
        <w:rPr>
          <w:color w:val="182D4A"/>
          <w:spacing w:val="-9"/>
          <w:sz w:val="21"/>
        </w:rPr>
        <w:t xml:space="preserve"> </w:t>
      </w:r>
      <w:r>
        <w:rPr>
          <w:color w:val="182D4A"/>
          <w:spacing w:val="-4"/>
          <w:sz w:val="21"/>
        </w:rPr>
        <w:t>that</w:t>
      </w:r>
      <w:r>
        <w:rPr>
          <w:color w:val="182D4A"/>
          <w:spacing w:val="-9"/>
          <w:sz w:val="21"/>
        </w:rPr>
        <w:t xml:space="preserve"> </w:t>
      </w:r>
      <w:r>
        <w:rPr>
          <w:color w:val="182D4A"/>
          <w:spacing w:val="-4"/>
          <w:sz w:val="21"/>
        </w:rPr>
        <w:t>take</w:t>
      </w:r>
      <w:r>
        <w:rPr>
          <w:color w:val="182D4A"/>
          <w:spacing w:val="-9"/>
          <w:sz w:val="21"/>
        </w:rPr>
        <w:t xml:space="preserve"> </w:t>
      </w:r>
      <w:r>
        <w:rPr>
          <w:color w:val="182D4A"/>
          <w:spacing w:val="-4"/>
          <w:sz w:val="21"/>
        </w:rPr>
        <w:t>into</w:t>
      </w:r>
      <w:r>
        <w:rPr>
          <w:color w:val="182D4A"/>
          <w:spacing w:val="-9"/>
          <w:sz w:val="21"/>
        </w:rPr>
        <w:t xml:space="preserve"> </w:t>
      </w:r>
      <w:r>
        <w:rPr>
          <w:color w:val="182D4A"/>
          <w:spacing w:val="-4"/>
          <w:sz w:val="21"/>
        </w:rPr>
        <w:t>account</w:t>
      </w:r>
      <w:r>
        <w:rPr>
          <w:color w:val="182D4A"/>
          <w:spacing w:val="-9"/>
          <w:sz w:val="21"/>
        </w:rPr>
        <w:t xml:space="preserve"> </w:t>
      </w:r>
      <w:r>
        <w:rPr>
          <w:color w:val="182D4A"/>
          <w:spacing w:val="-4"/>
          <w:sz w:val="21"/>
        </w:rPr>
        <w:t>the</w:t>
      </w:r>
      <w:r>
        <w:rPr>
          <w:color w:val="182D4A"/>
          <w:spacing w:val="-9"/>
          <w:sz w:val="21"/>
        </w:rPr>
        <w:t xml:space="preserve"> </w:t>
      </w:r>
      <w:r>
        <w:rPr>
          <w:color w:val="182D4A"/>
          <w:spacing w:val="-4"/>
          <w:sz w:val="21"/>
        </w:rPr>
        <w:t>extent</w:t>
      </w:r>
      <w:r>
        <w:rPr>
          <w:color w:val="182D4A"/>
          <w:spacing w:val="-5"/>
          <w:sz w:val="21"/>
        </w:rPr>
        <w:t xml:space="preserve"> </w:t>
      </w:r>
      <w:r>
        <w:rPr>
          <w:color w:val="182D4A"/>
          <w:spacing w:val="-4"/>
          <w:sz w:val="21"/>
        </w:rPr>
        <w:t>to</w:t>
      </w:r>
      <w:r>
        <w:rPr>
          <w:color w:val="182D4A"/>
          <w:spacing w:val="-9"/>
          <w:sz w:val="21"/>
        </w:rPr>
        <w:t xml:space="preserve"> </w:t>
      </w:r>
      <w:r>
        <w:rPr>
          <w:color w:val="182D4A"/>
          <w:spacing w:val="-4"/>
          <w:sz w:val="21"/>
        </w:rPr>
        <w:t>which</w:t>
      </w:r>
      <w:r>
        <w:rPr>
          <w:color w:val="182D4A"/>
          <w:spacing w:val="-9"/>
          <w:sz w:val="21"/>
        </w:rPr>
        <w:t xml:space="preserve"> </w:t>
      </w:r>
      <w:r>
        <w:rPr>
          <w:color w:val="182D4A"/>
          <w:spacing w:val="-4"/>
          <w:sz w:val="21"/>
        </w:rPr>
        <w:t>the</w:t>
      </w:r>
      <w:r>
        <w:rPr>
          <w:color w:val="182D4A"/>
          <w:spacing w:val="-9"/>
          <w:sz w:val="21"/>
        </w:rPr>
        <w:t xml:space="preserve"> </w:t>
      </w:r>
      <w:r>
        <w:rPr>
          <w:color w:val="182D4A"/>
          <w:spacing w:val="-4"/>
          <w:sz w:val="21"/>
        </w:rPr>
        <w:t>patient</w:t>
      </w:r>
      <w:r>
        <w:rPr>
          <w:color w:val="182D4A"/>
          <w:spacing w:val="-5"/>
          <w:sz w:val="21"/>
        </w:rPr>
        <w:t xml:space="preserve"> </w:t>
      </w:r>
      <w:r>
        <w:rPr>
          <w:color w:val="182D4A"/>
          <w:spacing w:val="-4"/>
          <w:sz w:val="21"/>
        </w:rPr>
        <w:t xml:space="preserve">qualifies </w:t>
      </w:r>
      <w:r>
        <w:rPr>
          <w:color w:val="182D4A"/>
          <w:spacing w:val="-2"/>
          <w:sz w:val="21"/>
        </w:rPr>
        <w:t>for</w:t>
      </w:r>
      <w:r>
        <w:rPr>
          <w:color w:val="182D4A"/>
          <w:spacing w:val="-12"/>
          <w:sz w:val="21"/>
        </w:rPr>
        <w:t xml:space="preserve"> </w:t>
      </w:r>
      <w:r w:rsidR="00CE0ACA">
        <w:rPr>
          <w:color w:val="182D4A"/>
          <w:spacing w:val="-12"/>
          <w:sz w:val="21"/>
        </w:rPr>
        <w:t>Financial Assistance.</w:t>
      </w:r>
      <w:r w:rsidR="00CE0ACA">
        <w:rPr>
          <w:color w:val="182D4A"/>
          <w:spacing w:val="-2"/>
          <w:sz w:val="21"/>
        </w:rPr>
        <w:t xml:space="preserve"> </w:t>
      </w:r>
    </w:p>
    <w:p w14:paraId="689618BA" w14:textId="77777777" w:rsidR="005C45C6" w:rsidRPr="00897C74" w:rsidRDefault="005C45C6" w:rsidP="00897C74">
      <w:pPr>
        <w:pStyle w:val="ListParagraph"/>
        <w:tabs>
          <w:tab w:val="left" w:pos="1336"/>
          <w:tab w:val="left" w:pos="1338"/>
        </w:tabs>
        <w:spacing w:before="101" w:line="268" w:lineRule="auto"/>
        <w:ind w:left="1338" w:right="164" w:firstLine="0"/>
        <w:rPr>
          <w:color w:val="182D4A"/>
          <w:spacing w:val="-2"/>
          <w:sz w:val="21"/>
        </w:rPr>
      </w:pPr>
      <w:r w:rsidRPr="00897C74">
        <w:rPr>
          <w:color w:val="182D4A"/>
          <w:spacing w:val="-2"/>
          <w:sz w:val="21"/>
        </w:rPr>
        <w:t>TBHC’s collection practices shall comply with this Policy and applicable federal and New York State law</w:t>
      </w:r>
    </w:p>
    <w:p w14:paraId="5DD4C112" w14:textId="69F04BDB" w:rsidR="005C45C6" w:rsidRPr="005C45C6" w:rsidRDefault="005C45C6" w:rsidP="00897C74">
      <w:pPr>
        <w:pStyle w:val="ListParagraph"/>
        <w:tabs>
          <w:tab w:val="left" w:pos="1336"/>
          <w:tab w:val="left" w:pos="1338"/>
        </w:tabs>
        <w:spacing w:before="101" w:line="268" w:lineRule="auto"/>
        <w:ind w:left="1338" w:right="164" w:firstLine="0"/>
        <w:rPr>
          <w:sz w:val="21"/>
        </w:rPr>
      </w:pPr>
      <w:r w:rsidRPr="005C45C6">
        <w:rPr>
          <w:sz w:val="21"/>
        </w:rPr>
        <w:t>TBHC will not:</w:t>
      </w:r>
    </w:p>
    <w:p w14:paraId="45FFB032" w14:textId="316BA45F" w:rsidR="005C45C6" w:rsidRPr="005C45C6" w:rsidRDefault="005C45C6" w:rsidP="00897C74">
      <w:pPr>
        <w:pStyle w:val="ListParagraph"/>
        <w:numPr>
          <w:ilvl w:val="0"/>
          <w:numId w:val="6"/>
        </w:numPr>
        <w:tabs>
          <w:tab w:val="left" w:pos="1336"/>
          <w:tab w:val="left" w:pos="1338"/>
        </w:tabs>
        <w:spacing w:before="101" w:line="268" w:lineRule="auto"/>
        <w:ind w:right="164"/>
        <w:rPr>
          <w:sz w:val="21"/>
        </w:rPr>
      </w:pPr>
      <w:r w:rsidRPr="005C45C6">
        <w:rPr>
          <w:sz w:val="21"/>
        </w:rPr>
        <w:t>deny admission or treatment for services reasonably anticipated to be medically necessary because a patient has an unpaid medical bill;</w:t>
      </w:r>
    </w:p>
    <w:p w14:paraId="7D175423" w14:textId="03FE00BD" w:rsidR="005C45C6" w:rsidRPr="005C45C6" w:rsidRDefault="005C45C6" w:rsidP="00897C74">
      <w:pPr>
        <w:pStyle w:val="ListParagraph"/>
        <w:numPr>
          <w:ilvl w:val="0"/>
          <w:numId w:val="6"/>
        </w:numPr>
        <w:tabs>
          <w:tab w:val="left" w:pos="1336"/>
          <w:tab w:val="left" w:pos="1338"/>
        </w:tabs>
        <w:spacing w:before="101" w:line="268" w:lineRule="auto"/>
        <w:ind w:right="164"/>
        <w:rPr>
          <w:sz w:val="21"/>
        </w:rPr>
      </w:pPr>
      <w:r w:rsidRPr="005C45C6">
        <w:rPr>
          <w:sz w:val="21"/>
        </w:rPr>
        <w:t>refer an account to a collection agency while a completed Financial Assistance application, including any required supporting documentation, is being reviewed by TBHC;</w:t>
      </w:r>
    </w:p>
    <w:p w14:paraId="0303CB17" w14:textId="426EFF78" w:rsidR="005C45C6" w:rsidRPr="005C45C6" w:rsidRDefault="005C45C6" w:rsidP="00897C74">
      <w:pPr>
        <w:pStyle w:val="ListParagraph"/>
        <w:numPr>
          <w:ilvl w:val="0"/>
          <w:numId w:val="6"/>
        </w:numPr>
        <w:tabs>
          <w:tab w:val="left" w:pos="1336"/>
          <w:tab w:val="left" w:pos="1338"/>
        </w:tabs>
        <w:spacing w:before="101" w:line="268" w:lineRule="auto"/>
        <w:ind w:right="164"/>
        <w:rPr>
          <w:sz w:val="21"/>
        </w:rPr>
      </w:pPr>
      <w:r w:rsidRPr="005C45C6">
        <w:rPr>
          <w:sz w:val="21"/>
        </w:rPr>
        <w:t>commence a civil action against a patient or delegate collection activity to a debt collector for nonpayment for at least 180 days after the first post-service bill is issued and until TBHC has made reasonable efforts to determine whether the patient qualifies for Financial Assistance;</w:t>
      </w:r>
    </w:p>
    <w:p w14:paraId="4392D4F2" w14:textId="374B69E6" w:rsidR="005C45C6" w:rsidRPr="005C45C6" w:rsidRDefault="005C45C6" w:rsidP="00897C74">
      <w:pPr>
        <w:pStyle w:val="ListParagraph"/>
        <w:numPr>
          <w:ilvl w:val="0"/>
          <w:numId w:val="6"/>
        </w:numPr>
        <w:tabs>
          <w:tab w:val="left" w:pos="1336"/>
          <w:tab w:val="left" w:pos="1338"/>
        </w:tabs>
        <w:spacing w:before="101" w:line="268" w:lineRule="auto"/>
        <w:ind w:right="164"/>
        <w:rPr>
          <w:sz w:val="21"/>
        </w:rPr>
      </w:pPr>
      <w:r w:rsidRPr="005C45C6">
        <w:rPr>
          <w:sz w:val="21"/>
        </w:rPr>
        <w:t>take legal action to recover an unpaid medical bill from a patient whose income is below 400% of the FPL;</w:t>
      </w:r>
    </w:p>
    <w:p w14:paraId="73002C78" w14:textId="632A6515" w:rsidR="005C45C6" w:rsidRPr="005C45C6" w:rsidRDefault="005C45C6" w:rsidP="00897C74">
      <w:pPr>
        <w:pStyle w:val="ListParagraph"/>
        <w:numPr>
          <w:ilvl w:val="0"/>
          <w:numId w:val="6"/>
        </w:numPr>
        <w:tabs>
          <w:tab w:val="left" w:pos="1336"/>
          <w:tab w:val="left" w:pos="1338"/>
        </w:tabs>
        <w:spacing w:before="101" w:line="268" w:lineRule="auto"/>
        <w:ind w:right="164"/>
        <w:rPr>
          <w:sz w:val="21"/>
        </w:rPr>
      </w:pPr>
      <w:r w:rsidRPr="005C45C6">
        <w:rPr>
          <w:sz w:val="21"/>
        </w:rPr>
        <w:lastRenderedPageBreak/>
        <w:t>force the sale or foreclosure of a patient's primary residence in order to collect an outstanding medical debt; or</w:t>
      </w:r>
    </w:p>
    <w:p w14:paraId="68B6DF4B" w14:textId="6C74D03C" w:rsidR="005C45C6" w:rsidRPr="005C45C6" w:rsidRDefault="005C45C6" w:rsidP="00897C74">
      <w:pPr>
        <w:pStyle w:val="ListParagraph"/>
        <w:numPr>
          <w:ilvl w:val="0"/>
          <w:numId w:val="6"/>
        </w:numPr>
        <w:tabs>
          <w:tab w:val="left" w:pos="1336"/>
          <w:tab w:val="left" w:pos="1338"/>
        </w:tabs>
        <w:spacing w:before="101" w:line="268" w:lineRule="auto"/>
        <w:ind w:right="164"/>
        <w:rPr>
          <w:sz w:val="21"/>
        </w:rPr>
      </w:pPr>
      <w:r w:rsidRPr="005C45C6">
        <w:rPr>
          <w:sz w:val="21"/>
        </w:rPr>
        <w:t>sell a patient's medical debt to a third party, unless the third party explicitly purchases the medical debt for the purpose of relieving the patient's debt.</w:t>
      </w:r>
    </w:p>
    <w:p w14:paraId="4AA12912" w14:textId="77777777" w:rsidR="005C45C6" w:rsidRPr="005C45C6" w:rsidRDefault="005C45C6" w:rsidP="00897C74">
      <w:pPr>
        <w:pStyle w:val="ListParagraph"/>
        <w:tabs>
          <w:tab w:val="left" w:pos="1336"/>
          <w:tab w:val="left" w:pos="1338"/>
        </w:tabs>
        <w:spacing w:before="101" w:line="268" w:lineRule="auto"/>
        <w:ind w:left="1338" w:right="164" w:firstLine="0"/>
        <w:rPr>
          <w:sz w:val="21"/>
        </w:rPr>
      </w:pPr>
      <w:r w:rsidRPr="005C45C6">
        <w:rPr>
          <w:sz w:val="21"/>
        </w:rPr>
        <w:t>TBHC will not collect from a patient who is determined to have been eligible for Medicaid at the time the services were rendered for services for which Medicaid payment is available.</w:t>
      </w:r>
    </w:p>
    <w:p w14:paraId="23B175CD" w14:textId="77777777" w:rsidR="005C45C6" w:rsidRPr="005C45C6" w:rsidRDefault="005C45C6" w:rsidP="00897C74">
      <w:pPr>
        <w:pStyle w:val="ListParagraph"/>
        <w:tabs>
          <w:tab w:val="left" w:pos="1336"/>
          <w:tab w:val="left" w:pos="1338"/>
        </w:tabs>
        <w:spacing w:before="101" w:line="268" w:lineRule="auto"/>
        <w:ind w:left="1338" w:right="164" w:firstLine="0"/>
        <w:rPr>
          <w:sz w:val="21"/>
        </w:rPr>
      </w:pPr>
      <w:r w:rsidRPr="005C45C6">
        <w:rPr>
          <w:sz w:val="21"/>
        </w:rPr>
        <w:t>TBHC will provide written notice to a patient not less than 30 days before referring the patient's account to a collection agency. Such written notification shall include notification on a patient bill. The notice will inform the patient of the availability of Financial Assistance and how to apply for Financial Assistance.</w:t>
      </w:r>
    </w:p>
    <w:p w14:paraId="6A010047" w14:textId="77777777" w:rsidR="005C45C6" w:rsidRPr="005C45C6" w:rsidRDefault="005C45C6" w:rsidP="00897C74">
      <w:pPr>
        <w:pStyle w:val="ListParagraph"/>
        <w:tabs>
          <w:tab w:val="left" w:pos="1336"/>
          <w:tab w:val="left" w:pos="1338"/>
        </w:tabs>
        <w:spacing w:before="101" w:line="268" w:lineRule="auto"/>
        <w:ind w:left="1338" w:right="164" w:firstLine="0"/>
        <w:rPr>
          <w:sz w:val="21"/>
        </w:rPr>
      </w:pPr>
      <w:r w:rsidRPr="005C45C6">
        <w:rPr>
          <w:sz w:val="21"/>
        </w:rPr>
        <w:t>Any collection agency or other third party engaged by TBHC to collect patient debt must comply with TBHC’s Financial Assistance and collection policies and applicable law, including providing patients with information regarding how to apply for Financial Assistance where appropriate. A collection agency must obtain TBHC’s written consent before commencing any legal action.</w:t>
      </w:r>
    </w:p>
    <w:p w14:paraId="43749695" w14:textId="77777777" w:rsidR="005C45C6" w:rsidRPr="005C45C6" w:rsidRDefault="005C45C6" w:rsidP="00897C74">
      <w:pPr>
        <w:pStyle w:val="ListParagraph"/>
        <w:tabs>
          <w:tab w:val="left" w:pos="1336"/>
          <w:tab w:val="left" w:pos="1338"/>
        </w:tabs>
        <w:spacing w:before="101" w:line="268" w:lineRule="auto"/>
        <w:ind w:left="1338" w:right="164" w:firstLine="0"/>
        <w:rPr>
          <w:sz w:val="21"/>
        </w:rPr>
      </w:pPr>
      <w:r w:rsidRPr="005C45C6">
        <w:rPr>
          <w:sz w:val="21"/>
        </w:rPr>
        <w:t>In any legal action related to the recovery of medical debt or unpaid bills by or on behalf of TBHC, the complaint shall be accompanied by an affidavit from TBHC’s Chief Financial Officer stating that, based upon TBHC’s reasonable efforts to determine the patient’s income, the patient does not have income below 400% of the FPL.</w:t>
      </w:r>
    </w:p>
    <w:p w14:paraId="6AC1B675" w14:textId="77777777" w:rsidR="005C45C6" w:rsidRPr="005C45C6" w:rsidRDefault="005C45C6" w:rsidP="00897C74">
      <w:pPr>
        <w:pStyle w:val="ListParagraph"/>
        <w:tabs>
          <w:tab w:val="left" w:pos="1336"/>
          <w:tab w:val="left" w:pos="1338"/>
        </w:tabs>
        <w:spacing w:before="101" w:line="268" w:lineRule="auto"/>
        <w:ind w:left="1338" w:right="164" w:firstLine="0"/>
        <w:rPr>
          <w:sz w:val="21"/>
        </w:rPr>
      </w:pPr>
      <w:r w:rsidRPr="005C45C6">
        <w:rPr>
          <w:sz w:val="21"/>
        </w:rPr>
        <w:t>TBHC staff who interact with patients or have responsibility for billing or collections shall be trained regarding this Policy and applicable Financial Assistance procedures.</w:t>
      </w:r>
    </w:p>
    <w:p w14:paraId="248188A9" w14:textId="040CBCFF" w:rsidR="005C45C6" w:rsidRPr="005C45C6" w:rsidRDefault="005C45C6" w:rsidP="00897C74">
      <w:pPr>
        <w:pStyle w:val="ListParagraph"/>
        <w:tabs>
          <w:tab w:val="left" w:pos="1336"/>
          <w:tab w:val="left" w:pos="1338"/>
        </w:tabs>
        <w:spacing w:before="101" w:line="268" w:lineRule="auto"/>
        <w:ind w:left="1338" w:right="164" w:firstLine="0"/>
        <w:rPr>
          <w:sz w:val="21"/>
        </w:rPr>
      </w:pPr>
      <w:r w:rsidRPr="005C45C6">
        <w:rPr>
          <w:sz w:val="21"/>
        </w:rPr>
        <w:t>TBHC shall maintain a mechanism to measure compliance with its Fin</w:t>
      </w:r>
      <w:r>
        <w:rPr>
          <w:sz w:val="21"/>
        </w:rPr>
        <w:t xml:space="preserve">ancial Assistance </w:t>
      </w:r>
      <w:r w:rsidRPr="005C45C6">
        <w:rPr>
          <w:sz w:val="21"/>
        </w:rPr>
        <w:t>policies and procedures.</w:t>
      </w:r>
    </w:p>
    <w:p w14:paraId="1864934A" w14:textId="63706E0A" w:rsidR="005C45C6" w:rsidRPr="005C45C6" w:rsidRDefault="005C45C6" w:rsidP="005C45C6">
      <w:pPr>
        <w:pStyle w:val="ListParagraph"/>
        <w:numPr>
          <w:ilvl w:val="0"/>
          <w:numId w:val="1"/>
        </w:numPr>
        <w:tabs>
          <w:tab w:val="left" w:pos="1336"/>
          <w:tab w:val="left" w:pos="1338"/>
        </w:tabs>
        <w:spacing w:before="101" w:line="268" w:lineRule="auto"/>
        <w:ind w:right="164"/>
        <w:rPr>
          <w:sz w:val="21"/>
        </w:rPr>
      </w:pPr>
      <w:r w:rsidRPr="00897C74">
        <w:rPr>
          <w:b/>
          <w:sz w:val="21"/>
        </w:rPr>
        <w:t>Regulatory Requirements:</w:t>
      </w:r>
      <w:r w:rsidRPr="005C45C6">
        <w:rPr>
          <w:sz w:val="21"/>
        </w:rPr>
        <w:t xml:space="preserve"> In implementing this Policy, TBHC's management and facilities shall comply with all other federal, state, and local laws, rules, and regulations that may apply to activities conducted pursuant to this Policy.</w:t>
      </w:r>
    </w:p>
    <w:p w14:paraId="18B4C215" w14:textId="523C5616" w:rsidR="005C45C6" w:rsidRDefault="005C45C6" w:rsidP="005C45C6">
      <w:pPr>
        <w:pStyle w:val="ListParagraph"/>
        <w:numPr>
          <w:ilvl w:val="0"/>
          <w:numId w:val="1"/>
        </w:numPr>
        <w:tabs>
          <w:tab w:val="left" w:pos="1336"/>
          <w:tab w:val="left" w:pos="1338"/>
        </w:tabs>
        <w:spacing w:before="101" w:line="268" w:lineRule="auto"/>
        <w:ind w:right="164"/>
        <w:rPr>
          <w:sz w:val="21"/>
        </w:rPr>
      </w:pPr>
      <w:r w:rsidRPr="00897C74">
        <w:rPr>
          <w:b/>
          <w:sz w:val="21"/>
        </w:rPr>
        <w:t>Providers Covered and Not Covered by the Financial Assistance Policy</w:t>
      </w:r>
      <w:r w:rsidRPr="005C45C6">
        <w:rPr>
          <w:sz w:val="21"/>
        </w:rPr>
        <w:t>: TBHC will maintain a current list of physicians, physician groups, and other providers furnishing emergency or other medically necessary care at TBHC. The list will identify whether services furnished by each provider are covered by this Financial Assistance Policy. The provider list will be reviewed and updated as necessary to remain current, and will be published on TBHC’s Financial Assistance webpage.</w:t>
      </w:r>
    </w:p>
    <w:p w14:paraId="6FBF6B06" w14:textId="0C3CA2B1" w:rsidR="005C45C6" w:rsidRDefault="005C45C6" w:rsidP="00897C74">
      <w:pPr>
        <w:tabs>
          <w:tab w:val="left" w:pos="1336"/>
          <w:tab w:val="left" w:pos="1338"/>
        </w:tabs>
        <w:spacing w:before="101" w:line="268" w:lineRule="auto"/>
        <w:ind w:right="164"/>
        <w:rPr>
          <w:sz w:val="21"/>
        </w:rPr>
      </w:pPr>
    </w:p>
    <w:p w14:paraId="0D3A18E0" w14:textId="4FB56191" w:rsidR="005C45C6" w:rsidRPr="00897C74" w:rsidRDefault="00506236" w:rsidP="00897C74">
      <w:pPr>
        <w:tabs>
          <w:tab w:val="left" w:pos="1336"/>
          <w:tab w:val="left" w:pos="1338"/>
        </w:tabs>
        <w:spacing w:before="101" w:line="268" w:lineRule="auto"/>
        <w:ind w:right="164"/>
        <w:rPr>
          <w:sz w:val="21"/>
        </w:rPr>
      </w:pPr>
      <w:r>
        <w:rPr>
          <w:sz w:val="21"/>
        </w:rPr>
        <w:t>Last reviewed: September 18, 2026</w:t>
      </w:r>
    </w:p>
    <w:sectPr w:rsidR="005C45C6" w:rsidRPr="00897C74">
      <w:footerReference w:type="default" r:id="rId12"/>
      <w:pgSz w:w="12240" w:h="15840"/>
      <w:pgMar w:top="1200" w:right="940" w:bottom="940" w:left="1060" w:header="0" w:footer="75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924C36" w14:textId="77777777" w:rsidR="00003019" w:rsidRDefault="00003019">
      <w:r>
        <w:separator/>
      </w:r>
    </w:p>
  </w:endnote>
  <w:endnote w:type="continuationSeparator" w:id="0">
    <w:p w14:paraId="3A9EF17F" w14:textId="77777777" w:rsidR="00003019" w:rsidRDefault="000030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52895A" w14:textId="77777777" w:rsidR="00DD56C0" w:rsidRDefault="00E40A00">
    <w:pPr>
      <w:pStyle w:val="BodyText"/>
      <w:spacing w:line="14" w:lineRule="auto"/>
      <w:rPr>
        <w:sz w:val="20"/>
      </w:rPr>
    </w:pPr>
    <w:r>
      <w:rPr>
        <w:noProof/>
      </w:rPr>
      <mc:AlternateContent>
        <mc:Choice Requires="wps">
          <w:drawing>
            <wp:anchor distT="0" distB="0" distL="0" distR="0" simplePos="0" relativeHeight="251657216" behindDoc="1" locked="0" layoutInCell="1" allowOverlap="1" wp14:anchorId="697D5ADE" wp14:editId="0913E193">
              <wp:simplePos x="0" y="0"/>
              <wp:positionH relativeFrom="page">
                <wp:posOffset>745100</wp:posOffset>
              </wp:positionH>
              <wp:positionV relativeFrom="page">
                <wp:posOffset>9436896</wp:posOffset>
              </wp:positionV>
              <wp:extent cx="5491480" cy="27495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91480" cy="274955"/>
                      </a:xfrm>
                      <a:prstGeom prst="rect">
                        <a:avLst/>
                      </a:prstGeom>
                    </wps:spPr>
                    <wps:txbx>
                      <w:txbxContent>
                        <w:p w14:paraId="21706446" w14:textId="77777777" w:rsidR="00DD56C0" w:rsidRDefault="00DD56C0">
                          <w:pPr>
                            <w:spacing w:before="12" w:line="249" w:lineRule="auto"/>
                            <w:ind w:left="20" w:right="18"/>
                            <w:rPr>
                              <w:rFonts w:ascii="Times New Roman" w:hAnsi="Times New Roman"/>
                              <w:sz w:val="17"/>
                            </w:rPr>
                          </w:pPr>
                        </w:p>
                      </w:txbxContent>
                    </wps:txbx>
                    <wps:bodyPr wrap="square" lIns="0" tIns="0" rIns="0" bIns="0" rtlCol="0">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697D5ADE" id="_x0000_t202" coordsize="21600,21600" o:spt="202" path="m,l,21600r21600,l21600,xe">
              <v:stroke joinstyle="miter"/>
              <v:path gradientshapeok="t" o:connecttype="rect"/>
            </v:shapetype>
            <v:shape id="Textbox 1" o:spid="_x0000_s1026" type="#_x0000_t202" style="position:absolute;margin-left:58.65pt;margin-top:743.05pt;width:432.4pt;height:21.6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" filled="f" stroked="f">
              <v:path arrowok="t"/>
              <v:textbox inset="0,0,0,0">
                <w:txbxContent>
                  <w:p w14:paraId="21706446" w14:textId="77777777" w:rsidR="00DD56C0" w:rsidRDefault="00DD56C0">
                    <w:pPr>
                      <w:spacing w:before="12" w:line="249" w:lineRule="auto"/>
                      <w:ind w:left="20" w:right="18"/>
                      <w:rPr>
                        <w:rFonts w:ascii="Times New Roman" w:hAnsi="Times New Roman"/>
                        <w:sz w:val="17"/>
                      </w:rPr>
                    </w:pPr>
                  </w:p>
                </w:txbxContent>
              </v:textbox>
              <w10:wrap anchorx="page" anchory="page"/>
            </v:shape>
          </w:pict>
        </mc:Fallback>
      </mc:AlternateContent>
    </w:r>
    <w:r>
      <w:rPr>
        <w:noProof/>
      </w:rPr>
      <mc:AlternateContent>
        <mc:Choice Requires="wps">
          <w:drawing>
            <wp:anchor distT="0" distB="0" distL="0" distR="0" simplePos="0" relativeHeight="251658240" behindDoc="1" locked="0" layoutInCell="1" allowOverlap="1" wp14:anchorId="5AC17F98" wp14:editId="4C48D717">
              <wp:simplePos x="0" y="0"/>
              <wp:positionH relativeFrom="page">
                <wp:posOffset>6426989</wp:posOffset>
              </wp:positionH>
              <wp:positionV relativeFrom="page">
                <wp:posOffset>9437778</wp:posOffset>
              </wp:positionV>
              <wp:extent cx="600075" cy="16637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0075" cy="166370"/>
                      </a:xfrm>
                      <a:prstGeom prst="rect">
                        <a:avLst/>
                      </a:prstGeom>
                    </wps:spPr>
                    <wps:txbx>
                      <w:txbxContent>
                        <w:p w14:paraId="3ED95B65" w14:textId="21F798CC" w:rsidR="00DD56C0" w:rsidRDefault="00E40A00">
                          <w:pPr>
                            <w:spacing w:before="11"/>
                            <w:ind w:left="20"/>
                            <w:rPr>
                              <w:rFonts w:ascii="Times New Roman"/>
                              <w:sz w:val="20"/>
                            </w:rPr>
                          </w:pPr>
                          <w:r>
                            <w:rPr>
                              <w:rFonts w:ascii="Times New Roman"/>
                              <w:sz w:val="20"/>
                            </w:rPr>
                            <w:t>Page</w:t>
                          </w:r>
                          <w:r>
                            <w:rPr>
                              <w:rFonts w:ascii="Times New Roman"/>
                              <w:spacing w:val="-2"/>
                              <w:sz w:val="20"/>
                            </w:rPr>
                            <w:t xml:space="preserve"> </w:t>
                          </w:r>
                          <w:r>
                            <w:rPr>
                              <w:rFonts w:ascii="Times New Roman"/>
                              <w:sz w:val="20"/>
                            </w:rPr>
                            <w:fldChar w:fldCharType="begin"/>
                          </w:r>
                          <w:r>
                            <w:rPr>
                              <w:rFonts w:ascii="Times New Roman"/>
                              <w:sz w:val="20"/>
                            </w:rPr>
                            <w:instrText xml:space="preserve"> PAGE </w:instrText>
                          </w:r>
                          <w:r>
                            <w:rPr>
                              <w:rFonts w:ascii="Times New Roman"/>
                              <w:sz w:val="20"/>
                            </w:rPr>
                            <w:fldChar w:fldCharType="separate"/>
                          </w:r>
                          <w:r w:rsidR="00DD5F67">
                            <w:rPr>
                              <w:rFonts w:ascii="Times New Roman"/>
                              <w:noProof/>
                              <w:sz w:val="20"/>
                            </w:rPr>
                            <w:t>3</w:t>
                          </w:r>
                          <w:r>
                            <w:rPr>
                              <w:rFonts w:ascii="Times New Roman"/>
                              <w:sz w:val="20"/>
                            </w:rPr>
                            <w:fldChar w:fldCharType="end"/>
                          </w:r>
                          <w:r>
                            <w:rPr>
                              <w:rFonts w:ascii="Times New Roman"/>
                              <w:spacing w:val="-1"/>
                              <w:sz w:val="20"/>
                            </w:rPr>
                            <w:t xml:space="preserve"> </w:t>
                          </w:r>
                          <w:r>
                            <w:rPr>
                              <w:rFonts w:ascii="Times New Roman"/>
                              <w:sz w:val="20"/>
                            </w:rPr>
                            <w:t>of</w:t>
                          </w:r>
                          <w:r>
                            <w:rPr>
                              <w:rFonts w:ascii="Times New Roman"/>
                              <w:spacing w:val="-1"/>
                              <w:sz w:val="20"/>
                            </w:rPr>
                            <w:t xml:space="preserve"> </w:t>
                          </w:r>
                          <w:r>
                            <w:rPr>
                              <w:rFonts w:ascii="Times New Roman"/>
                              <w:spacing w:val="-10"/>
                              <w:sz w:val="20"/>
                            </w:rPr>
                            <w:fldChar w:fldCharType="begin"/>
                          </w:r>
                          <w:r>
                            <w:rPr>
                              <w:rFonts w:ascii="Times New Roman"/>
                              <w:spacing w:val="-10"/>
                              <w:sz w:val="20"/>
                            </w:rPr>
                            <w:instrText xml:space="preserve"> NUMPAGES </w:instrText>
                          </w:r>
                          <w:r>
                            <w:rPr>
                              <w:rFonts w:ascii="Times New Roman"/>
                              <w:spacing w:val="-10"/>
                              <w:sz w:val="20"/>
                            </w:rPr>
                            <w:fldChar w:fldCharType="separate"/>
                          </w:r>
                          <w:r w:rsidR="00DD5F67">
                            <w:rPr>
                              <w:rFonts w:ascii="Times New Roman"/>
                              <w:noProof/>
                              <w:spacing w:val="-10"/>
                              <w:sz w:val="20"/>
                            </w:rPr>
                            <w:t>5</w:t>
                          </w:r>
                          <w:r>
                            <w:rPr>
                              <w:rFonts w:ascii="Times New Roman"/>
                              <w:spacing w:val="-10"/>
                              <w:sz w:val="20"/>
                            </w:rPr>
                            <w:fldChar w:fldCharType="end"/>
                          </w:r>
                        </w:p>
                      </w:txbxContent>
                    </wps:txbx>
                    <wps:bodyPr wrap="square" lIns="0" tIns="0" rIns="0" bIns="0" rtlCol="0">
                      <a:noAutofit/>
                    </wps:bodyPr>
                  </wps:wsp>
                </a:graphicData>
              </a:graphic>
            </wp:anchor>
          </w:drawing>
        </mc:Choice>
        <mc:Fallback>
          <w:pict>
            <v:shapetype w14:anchorId="5AC17F98" id="_x0000_t202" coordsize="21600,21600" o:spt="202" path="m,l,21600r21600,l21600,xe">
              <v:stroke joinstyle="miter"/>
              <v:path gradientshapeok="t" o:connecttype="rect"/>
            </v:shapetype>
            <v:shape id="Textbox 2" o:spid="_x0000_s1027" type="#_x0000_t202" style="position:absolute;margin-left:506.05pt;margin-top:743.15pt;width:47.25pt;height:13.1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" filled="f" stroked="f">
              <v:path arrowok="t"/>
              <v:textbox inset="0,0,0,0">
                <w:txbxContent>
                  <w:p w14:paraId="3ED95B65" w14:textId="21F798CC" w:rsidR="00DD56C0" w:rsidRDefault="00E40A00">
                    <w:pPr>
                      <w:spacing w:before="11"/>
                      <w:ind w:left="20"/>
                      <w:rPr>
                        <w:rFonts w:ascii="Times New Roman"/>
                        <w:sz w:val="20"/>
                      </w:rPr>
                    </w:pPr>
                    <w:r>
                      <w:rPr>
                        <w:rFonts w:ascii="Times New Roman"/>
                        <w:sz w:val="20"/>
                      </w:rPr>
                      <w:t>Page</w:t>
                    </w:r>
                    <w:r>
                      <w:rPr>
                        <w:rFonts w:ascii="Times New Roman"/>
                        <w:spacing w:val="-2"/>
                        <w:sz w:val="20"/>
                      </w:rPr>
                      <w:t xml:space="preserve"> </w:t>
                    </w:r>
                    <w:r>
                      <w:rPr>
                        <w:rFonts w:ascii="Times New Roman"/>
                        <w:sz w:val="20"/>
                      </w:rPr>
                      <w:fldChar w:fldCharType="begin"/>
                    </w:r>
                    <w:r>
                      <w:rPr>
                        <w:rFonts w:ascii="Times New Roman"/>
                        <w:sz w:val="20"/>
                      </w:rPr>
                      <w:instrText xml:space="preserve"> PAGE </w:instrText>
                    </w:r>
                    <w:r>
                      <w:rPr>
                        <w:rFonts w:ascii="Times New Roman"/>
                        <w:sz w:val="20"/>
                      </w:rPr>
                      <w:fldChar w:fldCharType="separate"/>
                    </w:r>
                    <w:r w:rsidR="00DD5F67">
                      <w:rPr>
                        <w:rFonts w:ascii="Times New Roman"/>
                        <w:noProof/>
                        <w:sz w:val="20"/>
                      </w:rPr>
                      <w:t>3</w:t>
                    </w:r>
                    <w:r>
                      <w:rPr>
                        <w:rFonts w:ascii="Times New Roman"/>
                        <w:sz w:val="20"/>
                      </w:rPr>
                      <w:fldChar w:fldCharType="end"/>
                    </w:r>
                    <w:r>
                      <w:rPr>
                        <w:rFonts w:ascii="Times New Roman"/>
                        <w:spacing w:val="-1"/>
                        <w:sz w:val="20"/>
                      </w:rPr>
                      <w:t xml:space="preserve"> </w:t>
                    </w:r>
                    <w:r>
                      <w:rPr>
                        <w:rFonts w:ascii="Times New Roman"/>
                        <w:sz w:val="20"/>
                      </w:rPr>
                      <w:t>of</w:t>
                    </w:r>
                    <w:r>
                      <w:rPr>
                        <w:rFonts w:ascii="Times New Roman"/>
                        <w:spacing w:val="-1"/>
                        <w:sz w:val="20"/>
                      </w:rPr>
                      <w:t xml:space="preserve"> </w:t>
                    </w:r>
                    <w:r>
                      <w:rPr>
                        <w:rFonts w:ascii="Times New Roman"/>
                        <w:spacing w:val="-10"/>
                        <w:sz w:val="20"/>
                      </w:rPr>
                      <w:fldChar w:fldCharType="begin"/>
                    </w:r>
                    <w:r>
                      <w:rPr>
                        <w:rFonts w:ascii="Times New Roman"/>
                        <w:spacing w:val="-10"/>
                        <w:sz w:val="20"/>
                      </w:rPr>
                      <w:instrText xml:space="preserve"> NUMPAGES </w:instrText>
                    </w:r>
                    <w:r>
                      <w:rPr>
                        <w:rFonts w:ascii="Times New Roman"/>
                        <w:spacing w:val="-10"/>
                        <w:sz w:val="20"/>
                      </w:rPr>
                      <w:fldChar w:fldCharType="separate"/>
                    </w:r>
                    <w:r w:rsidR="00DD5F67">
                      <w:rPr>
                        <w:rFonts w:ascii="Times New Roman"/>
                        <w:noProof/>
                        <w:spacing w:val="-10"/>
                        <w:sz w:val="20"/>
                      </w:rPr>
                      <w:t>5</w:t>
                    </w:r>
                    <w:r>
                      <w:rPr>
                        <w:rFonts w:ascii="Times New Roman"/>
                        <w:spacing w:val="-1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D75089" w14:textId="77777777" w:rsidR="00003019" w:rsidRDefault="00003019">
      <w:r>
        <w:separator/>
      </w:r>
    </w:p>
  </w:footnote>
  <w:footnote w:type="continuationSeparator" w:id="0">
    <w:p w14:paraId="2E238D3E" w14:textId="77777777" w:rsidR="00003019" w:rsidRDefault="000030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BB5D15"/>
    <w:multiLevelType w:val="hybridMultilevel"/>
    <w:tmpl w:val="B9B044A6"/>
    <w:lvl w:ilvl="0" w:tplc="5888BB94">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15:restartNumberingAfterBreak="0">
    <w:nsid w:val="098D199C"/>
    <w:multiLevelType w:val="hybridMultilevel"/>
    <w:tmpl w:val="EE7C95D2"/>
    <w:lvl w:ilvl="0" w:tplc="2C5ACEE0">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339F16EC"/>
    <w:multiLevelType w:val="hybridMultilevel"/>
    <w:tmpl w:val="21504014"/>
    <w:lvl w:ilvl="0" w:tplc="0409000F">
      <w:start w:val="1"/>
      <w:numFmt w:val="decimal"/>
      <w:lvlText w:val="%1."/>
      <w:lvlJc w:val="left"/>
      <w:pPr>
        <w:ind w:left="1725" w:hanging="360"/>
      </w:pPr>
    </w:lvl>
    <w:lvl w:ilvl="1" w:tplc="04090019" w:tentative="1">
      <w:start w:val="1"/>
      <w:numFmt w:val="lowerLetter"/>
      <w:lvlText w:val="%2."/>
      <w:lvlJc w:val="left"/>
      <w:pPr>
        <w:ind w:left="2445" w:hanging="360"/>
      </w:pPr>
    </w:lvl>
    <w:lvl w:ilvl="2" w:tplc="0409001B" w:tentative="1">
      <w:start w:val="1"/>
      <w:numFmt w:val="lowerRoman"/>
      <w:lvlText w:val="%3."/>
      <w:lvlJc w:val="right"/>
      <w:pPr>
        <w:ind w:left="3165" w:hanging="180"/>
      </w:pPr>
    </w:lvl>
    <w:lvl w:ilvl="3" w:tplc="0409000F" w:tentative="1">
      <w:start w:val="1"/>
      <w:numFmt w:val="decimal"/>
      <w:lvlText w:val="%4."/>
      <w:lvlJc w:val="left"/>
      <w:pPr>
        <w:ind w:left="3885" w:hanging="360"/>
      </w:pPr>
    </w:lvl>
    <w:lvl w:ilvl="4" w:tplc="04090019" w:tentative="1">
      <w:start w:val="1"/>
      <w:numFmt w:val="lowerLetter"/>
      <w:lvlText w:val="%5."/>
      <w:lvlJc w:val="left"/>
      <w:pPr>
        <w:ind w:left="4605" w:hanging="360"/>
      </w:pPr>
    </w:lvl>
    <w:lvl w:ilvl="5" w:tplc="0409001B" w:tentative="1">
      <w:start w:val="1"/>
      <w:numFmt w:val="lowerRoman"/>
      <w:lvlText w:val="%6."/>
      <w:lvlJc w:val="right"/>
      <w:pPr>
        <w:ind w:left="5325" w:hanging="180"/>
      </w:pPr>
    </w:lvl>
    <w:lvl w:ilvl="6" w:tplc="0409000F" w:tentative="1">
      <w:start w:val="1"/>
      <w:numFmt w:val="decimal"/>
      <w:lvlText w:val="%7."/>
      <w:lvlJc w:val="left"/>
      <w:pPr>
        <w:ind w:left="6045" w:hanging="360"/>
      </w:pPr>
    </w:lvl>
    <w:lvl w:ilvl="7" w:tplc="04090019" w:tentative="1">
      <w:start w:val="1"/>
      <w:numFmt w:val="lowerLetter"/>
      <w:lvlText w:val="%8."/>
      <w:lvlJc w:val="left"/>
      <w:pPr>
        <w:ind w:left="6765" w:hanging="360"/>
      </w:pPr>
    </w:lvl>
    <w:lvl w:ilvl="8" w:tplc="0409001B" w:tentative="1">
      <w:start w:val="1"/>
      <w:numFmt w:val="lowerRoman"/>
      <w:lvlText w:val="%9."/>
      <w:lvlJc w:val="right"/>
      <w:pPr>
        <w:ind w:left="7485" w:hanging="180"/>
      </w:pPr>
    </w:lvl>
  </w:abstractNum>
  <w:abstractNum w:abstractNumId="3" w15:restartNumberingAfterBreak="0">
    <w:nsid w:val="503E157C"/>
    <w:multiLevelType w:val="hybridMultilevel"/>
    <w:tmpl w:val="B60C8128"/>
    <w:lvl w:ilvl="0" w:tplc="5888BB94">
      <w:start w:val="1"/>
      <w:numFmt w:val="decimal"/>
      <w:lvlText w:val="%1."/>
      <w:lvlJc w:val="left"/>
      <w:pPr>
        <w:ind w:left="3498" w:hanging="360"/>
      </w:pPr>
      <w:rPr>
        <w:rFonts w:hint="default"/>
      </w:rPr>
    </w:lvl>
    <w:lvl w:ilvl="1" w:tplc="04090019" w:tentative="1">
      <w:start w:val="1"/>
      <w:numFmt w:val="lowerLetter"/>
      <w:lvlText w:val="%2."/>
      <w:lvlJc w:val="left"/>
      <w:pPr>
        <w:ind w:left="2778" w:hanging="360"/>
      </w:pPr>
    </w:lvl>
    <w:lvl w:ilvl="2" w:tplc="0409001B" w:tentative="1">
      <w:start w:val="1"/>
      <w:numFmt w:val="lowerRoman"/>
      <w:lvlText w:val="%3."/>
      <w:lvlJc w:val="right"/>
      <w:pPr>
        <w:ind w:left="3498" w:hanging="180"/>
      </w:pPr>
    </w:lvl>
    <w:lvl w:ilvl="3" w:tplc="0409000F" w:tentative="1">
      <w:start w:val="1"/>
      <w:numFmt w:val="decimal"/>
      <w:lvlText w:val="%4."/>
      <w:lvlJc w:val="left"/>
      <w:pPr>
        <w:ind w:left="4218" w:hanging="360"/>
      </w:pPr>
    </w:lvl>
    <w:lvl w:ilvl="4" w:tplc="04090019" w:tentative="1">
      <w:start w:val="1"/>
      <w:numFmt w:val="lowerLetter"/>
      <w:lvlText w:val="%5."/>
      <w:lvlJc w:val="left"/>
      <w:pPr>
        <w:ind w:left="4938" w:hanging="360"/>
      </w:pPr>
    </w:lvl>
    <w:lvl w:ilvl="5" w:tplc="0409001B" w:tentative="1">
      <w:start w:val="1"/>
      <w:numFmt w:val="lowerRoman"/>
      <w:lvlText w:val="%6."/>
      <w:lvlJc w:val="right"/>
      <w:pPr>
        <w:ind w:left="5658" w:hanging="180"/>
      </w:pPr>
    </w:lvl>
    <w:lvl w:ilvl="6" w:tplc="0409000F" w:tentative="1">
      <w:start w:val="1"/>
      <w:numFmt w:val="decimal"/>
      <w:lvlText w:val="%7."/>
      <w:lvlJc w:val="left"/>
      <w:pPr>
        <w:ind w:left="6378" w:hanging="360"/>
      </w:pPr>
    </w:lvl>
    <w:lvl w:ilvl="7" w:tplc="04090019" w:tentative="1">
      <w:start w:val="1"/>
      <w:numFmt w:val="lowerLetter"/>
      <w:lvlText w:val="%8."/>
      <w:lvlJc w:val="left"/>
      <w:pPr>
        <w:ind w:left="7098" w:hanging="360"/>
      </w:pPr>
    </w:lvl>
    <w:lvl w:ilvl="8" w:tplc="0409001B" w:tentative="1">
      <w:start w:val="1"/>
      <w:numFmt w:val="lowerRoman"/>
      <w:lvlText w:val="%9."/>
      <w:lvlJc w:val="right"/>
      <w:pPr>
        <w:ind w:left="7818" w:hanging="180"/>
      </w:pPr>
    </w:lvl>
  </w:abstractNum>
  <w:abstractNum w:abstractNumId="4" w15:restartNumberingAfterBreak="0">
    <w:nsid w:val="604172CD"/>
    <w:multiLevelType w:val="hybridMultilevel"/>
    <w:tmpl w:val="F6AEFF7E"/>
    <w:lvl w:ilvl="0" w:tplc="37CA9C60">
      <w:start w:val="1"/>
      <w:numFmt w:val="upperLetter"/>
      <w:lvlText w:val="%1."/>
      <w:lvlJc w:val="left"/>
      <w:pPr>
        <w:ind w:left="1338" w:hanging="352"/>
      </w:pPr>
      <w:rPr>
        <w:rFonts w:ascii="Trebuchet MS" w:eastAsia="Trebuchet MS" w:hAnsi="Trebuchet MS" w:cs="Trebuchet MS" w:hint="default"/>
        <w:b w:val="0"/>
        <w:bCs w:val="0"/>
        <w:i w:val="0"/>
        <w:iCs w:val="0"/>
        <w:color w:val="182D4A"/>
        <w:spacing w:val="-1"/>
        <w:w w:val="95"/>
        <w:sz w:val="21"/>
        <w:szCs w:val="21"/>
        <w:lang w:val="en-US" w:eastAsia="en-US" w:bidi="ar-SA"/>
      </w:rPr>
    </w:lvl>
    <w:lvl w:ilvl="1" w:tplc="AA5C21CA">
      <w:start w:val="1"/>
      <w:numFmt w:val="decimal"/>
      <w:lvlText w:val="%2."/>
      <w:lvlJc w:val="left"/>
      <w:pPr>
        <w:ind w:left="2266" w:hanging="333"/>
      </w:pPr>
      <w:rPr>
        <w:rFonts w:ascii="Trebuchet MS" w:eastAsia="Trebuchet MS" w:hAnsi="Trebuchet MS" w:cs="Trebuchet MS" w:hint="default"/>
        <w:b w:val="0"/>
        <w:bCs w:val="0"/>
        <w:i w:val="0"/>
        <w:iCs w:val="0"/>
        <w:color w:val="182D4A"/>
        <w:spacing w:val="-1"/>
        <w:w w:val="92"/>
        <w:sz w:val="21"/>
        <w:szCs w:val="21"/>
        <w:lang w:val="en-US" w:eastAsia="en-US" w:bidi="ar-SA"/>
      </w:rPr>
    </w:lvl>
    <w:lvl w:ilvl="2" w:tplc="B83C6910">
      <w:start w:val="1"/>
      <w:numFmt w:val="lowerLetter"/>
      <w:lvlText w:val="%3."/>
      <w:lvlJc w:val="left"/>
      <w:pPr>
        <w:ind w:left="3195" w:hanging="329"/>
      </w:pPr>
      <w:rPr>
        <w:rFonts w:ascii="Trebuchet MS" w:eastAsia="Trebuchet MS" w:hAnsi="Trebuchet MS" w:cs="Trebuchet MS" w:hint="default"/>
        <w:b w:val="0"/>
        <w:bCs w:val="0"/>
        <w:i w:val="0"/>
        <w:iCs w:val="0"/>
        <w:color w:val="182D4A"/>
        <w:spacing w:val="-1"/>
        <w:w w:val="90"/>
        <w:sz w:val="21"/>
        <w:szCs w:val="21"/>
        <w:lang w:val="en-US" w:eastAsia="en-US" w:bidi="ar-SA"/>
      </w:rPr>
    </w:lvl>
    <w:lvl w:ilvl="3" w:tplc="FC002506">
      <w:numFmt w:val="bullet"/>
      <w:lvlText w:val="•"/>
      <w:lvlJc w:val="left"/>
      <w:pPr>
        <w:ind w:left="4080" w:hanging="329"/>
      </w:pPr>
      <w:rPr>
        <w:rFonts w:hint="default"/>
        <w:lang w:val="en-US" w:eastAsia="en-US" w:bidi="ar-SA"/>
      </w:rPr>
    </w:lvl>
    <w:lvl w:ilvl="4" w:tplc="CB6A1DA0">
      <w:numFmt w:val="bullet"/>
      <w:lvlText w:val="•"/>
      <w:lvlJc w:val="left"/>
      <w:pPr>
        <w:ind w:left="4960" w:hanging="329"/>
      </w:pPr>
      <w:rPr>
        <w:rFonts w:hint="default"/>
        <w:lang w:val="en-US" w:eastAsia="en-US" w:bidi="ar-SA"/>
      </w:rPr>
    </w:lvl>
    <w:lvl w:ilvl="5" w:tplc="01E06FEC">
      <w:numFmt w:val="bullet"/>
      <w:lvlText w:val="•"/>
      <w:lvlJc w:val="left"/>
      <w:pPr>
        <w:ind w:left="5840" w:hanging="329"/>
      </w:pPr>
      <w:rPr>
        <w:rFonts w:hint="default"/>
        <w:lang w:val="en-US" w:eastAsia="en-US" w:bidi="ar-SA"/>
      </w:rPr>
    </w:lvl>
    <w:lvl w:ilvl="6" w:tplc="511AA80A">
      <w:numFmt w:val="bullet"/>
      <w:lvlText w:val="•"/>
      <w:lvlJc w:val="left"/>
      <w:pPr>
        <w:ind w:left="6720" w:hanging="329"/>
      </w:pPr>
      <w:rPr>
        <w:rFonts w:hint="default"/>
        <w:lang w:val="en-US" w:eastAsia="en-US" w:bidi="ar-SA"/>
      </w:rPr>
    </w:lvl>
    <w:lvl w:ilvl="7" w:tplc="1AA0DE86">
      <w:numFmt w:val="bullet"/>
      <w:lvlText w:val="•"/>
      <w:lvlJc w:val="left"/>
      <w:pPr>
        <w:ind w:left="7600" w:hanging="329"/>
      </w:pPr>
      <w:rPr>
        <w:rFonts w:hint="default"/>
        <w:lang w:val="en-US" w:eastAsia="en-US" w:bidi="ar-SA"/>
      </w:rPr>
    </w:lvl>
    <w:lvl w:ilvl="8" w:tplc="6776ACE2">
      <w:numFmt w:val="bullet"/>
      <w:lvlText w:val="•"/>
      <w:lvlJc w:val="left"/>
      <w:pPr>
        <w:ind w:left="8480" w:hanging="329"/>
      </w:pPr>
      <w:rPr>
        <w:rFonts w:hint="default"/>
        <w:lang w:val="en-US" w:eastAsia="en-US" w:bidi="ar-SA"/>
      </w:rPr>
    </w:lvl>
  </w:abstractNum>
  <w:abstractNum w:abstractNumId="5" w15:restartNumberingAfterBreak="0">
    <w:nsid w:val="70815AB4"/>
    <w:multiLevelType w:val="hybridMultilevel"/>
    <w:tmpl w:val="096A7718"/>
    <w:lvl w:ilvl="0" w:tplc="50B80E5A">
      <w:start w:val="1"/>
      <w:numFmt w:val="upperRoman"/>
      <w:lvlText w:val="%1."/>
      <w:lvlJc w:val="left"/>
      <w:pPr>
        <w:ind w:left="782" w:hanging="374"/>
      </w:pPr>
      <w:rPr>
        <w:rFonts w:ascii="Trebuchet MS" w:eastAsia="Trebuchet MS" w:hAnsi="Trebuchet MS" w:cs="Trebuchet MS" w:hint="default"/>
        <w:b/>
        <w:bCs/>
        <w:i w:val="0"/>
        <w:iCs w:val="0"/>
        <w:color w:val="182D4A"/>
        <w:spacing w:val="-1"/>
        <w:w w:val="90"/>
        <w:sz w:val="45"/>
        <w:szCs w:val="45"/>
        <w:lang w:val="en-US" w:eastAsia="en-US" w:bidi="ar-SA"/>
      </w:rPr>
    </w:lvl>
    <w:lvl w:ilvl="1" w:tplc="15D030CC">
      <w:numFmt w:val="bullet"/>
      <w:lvlText w:val="•"/>
      <w:lvlJc w:val="left"/>
      <w:pPr>
        <w:ind w:left="1338" w:hanging="231"/>
      </w:pPr>
      <w:rPr>
        <w:rFonts w:ascii="Trebuchet MS" w:eastAsia="Trebuchet MS" w:hAnsi="Trebuchet MS" w:cs="Trebuchet MS" w:hint="default"/>
        <w:b w:val="0"/>
        <w:bCs w:val="0"/>
        <w:i w:val="0"/>
        <w:iCs w:val="0"/>
        <w:color w:val="182D4A"/>
        <w:spacing w:val="0"/>
        <w:w w:val="64"/>
        <w:sz w:val="21"/>
        <w:szCs w:val="21"/>
        <w:lang w:val="en-US" w:eastAsia="en-US" w:bidi="ar-SA"/>
      </w:rPr>
    </w:lvl>
    <w:lvl w:ilvl="2" w:tplc="5BBE1920">
      <w:numFmt w:val="bullet"/>
      <w:lvlText w:val="•"/>
      <w:lvlJc w:val="left"/>
      <w:pPr>
        <w:ind w:left="2328" w:hanging="231"/>
      </w:pPr>
      <w:rPr>
        <w:rFonts w:hint="default"/>
        <w:lang w:val="en-US" w:eastAsia="en-US" w:bidi="ar-SA"/>
      </w:rPr>
    </w:lvl>
    <w:lvl w:ilvl="3" w:tplc="2910C866">
      <w:numFmt w:val="bullet"/>
      <w:lvlText w:val="•"/>
      <w:lvlJc w:val="left"/>
      <w:pPr>
        <w:ind w:left="3317" w:hanging="231"/>
      </w:pPr>
      <w:rPr>
        <w:rFonts w:hint="default"/>
        <w:lang w:val="en-US" w:eastAsia="en-US" w:bidi="ar-SA"/>
      </w:rPr>
    </w:lvl>
    <w:lvl w:ilvl="4" w:tplc="8E3C2E8A">
      <w:numFmt w:val="bullet"/>
      <w:lvlText w:val="•"/>
      <w:lvlJc w:val="left"/>
      <w:pPr>
        <w:ind w:left="4306" w:hanging="231"/>
      </w:pPr>
      <w:rPr>
        <w:rFonts w:hint="default"/>
        <w:lang w:val="en-US" w:eastAsia="en-US" w:bidi="ar-SA"/>
      </w:rPr>
    </w:lvl>
    <w:lvl w:ilvl="5" w:tplc="C5B40C50">
      <w:numFmt w:val="bullet"/>
      <w:lvlText w:val="•"/>
      <w:lvlJc w:val="left"/>
      <w:pPr>
        <w:ind w:left="5295" w:hanging="231"/>
      </w:pPr>
      <w:rPr>
        <w:rFonts w:hint="default"/>
        <w:lang w:val="en-US" w:eastAsia="en-US" w:bidi="ar-SA"/>
      </w:rPr>
    </w:lvl>
    <w:lvl w:ilvl="6" w:tplc="9FFCFBEC">
      <w:numFmt w:val="bullet"/>
      <w:lvlText w:val="•"/>
      <w:lvlJc w:val="left"/>
      <w:pPr>
        <w:ind w:left="6284" w:hanging="231"/>
      </w:pPr>
      <w:rPr>
        <w:rFonts w:hint="default"/>
        <w:lang w:val="en-US" w:eastAsia="en-US" w:bidi="ar-SA"/>
      </w:rPr>
    </w:lvl>
    <w:lvl w:ilvl="7" w:tplc="3F3A1ED4">
      <w:numFmt w:val="bullet"/>
      <w:lvlText w:val="•"/>
      <w:lvlJc w:val="left"/>
      <w:pPr>
        <w:ind w:left="7273" w:hanging="231"/>
      </w:pPr>
      <w:rPr>
        <w:rFonts w:hint="default"/>
        <w:lang w:val="en-US" w:eastAsia="en-US" w:bidi="ar-SA"/>
      </w:rPr>
    </w:lvl>
    <w:lvl w:ilvl="8" w:tplc="13DAE216">
      <w:numFmt w:val="bullet"/>
      <w:lvlText w:val="•"/>
      <w:lvlJc w:val="left"/>
      <w:pPr>
        <w:ind w:left="8262" w:hanging="231"/>
      </w:pPr>
      <w:rPr>
        <w:rFonts w:hint="default"/>
        <w:lang w:val="en-US" w:eastAsia="en-US" w:bidi="ar-SA"/>
      </w:rPr>
    </w:lvl>
  </w:abstractNum>
  <w:num w:numId="1">
    <w:abstractNumId w:val="4"/>
  </w:num>
  <w:num w:numId="2">
    <w:abstractNumId w:val="5"/>
  </w:num>
  <w:num w:numId="3">
    <w:abstractNumId w:val="2"/>
  </w:num>
  <w:num w:numId="4">
    <w:abstractNumId w:val="0"/>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56C0"/>
    <w:rsid w:val="00003019"/>
    <w:rsid w:val="00030606"/>
    <w:rsid w:val="00114CBB"/>
    <w:rsid w:val="00164DB5"/>
    <w:rsid w:val="001915CC"/>
    <w:rsid w:val="001D18C0"/>
    <w:rsid w:val="001F48BE"/>
    <w:rsid w:val="002017DA"/>
    <w:rsid w:val="002467D7"/>
    <w:rsid w:val="002A5F6D"/>
    <w:rsid w:val="002A62C3"/>
    <w:rsid w:val="002C7D93"/>
    <w:rsid w:val="003056DA"/>
    <w:rsid w:val="003232AA"/>
    <w:rsid w:val="00336A34"/>
    <w:rsid w:val="00376E9B"/>
    <w:rsid w:val="00397C7A"/>
    <w:rsid w:val="003C4544"/>
    <w:rsid w:val="003E2D96"/>
    <w:rsid w:val="00464682"/>
    <w:rsid w:val="00496D01"/>
    <w:rsid w:val="004B6023"/>
    <w:rsid w:val="004C1F9F"/>
    <w:rsid w:val="004D3322"/>
    <w:rsid w:val="005055BC"/>
    <w:rsid w:val="00506236"/>
    <w:rsid w:val="005C45C6"/>
    <w:rsid w:val="006D5B43"/>
    <w:rsid w:val="00724959"/>
    <w:rsid w:val="00742B2A"/>
    <w:rsid w:val="00790A50"/>
    <w:rsid w:val="00810A71"/>
    <w:rsid w:val="00831AE4"/>
    <w:rsid w:val="00896884"/>
    <w:rsid w:val="00897C74"/>
    <w:rsid w:val="008B7FD1"/>
    <w:rsid w:val="008D6D43"/>
    <w:rsid w:val="008F460D"/>
    <w:rsid w:val="00A43F17"/>
    <w:rsid w:val="00A56F00"/>
    <w:rsid w:val="00A81011"/>
    <w:rsid w:val="00B25F17"/>
    <w:rsid w:val="00B35AE0"/>
    <w:rsid w:val="00B467A6"/>
    <w:rsid w:val="00B87E33"/>
    <w:rsid w:val="00C20A7C"/>
    <w:rsid w:val="00C44333"/>
    <w:rsid w:val="00C66F54"/>
    <w:rsid w:val="00CE0ACA"/>
    <w:rsid w:val="00CF6C00"/>
    <w:rsid w:val="00D17B84"/>
    <w:rsid w:val="00D4569D"/>
    <w:rsid w:val="00D459D8"/>
    <w:rsid w:val="00D52840"/>
    <w:rsid w:val="00DC4FB2"/>
    <w:rsid w:val="00DD56C0"/>
    <w:rsid w:val="00DD5F67"/>
    <w:rsid w:val="00E01BE1"/>
    <w:rsid w:val="00E40A00"/>
    <w:rsid w:val="00E60639"/>
    <w:rsid w:val="00E70F20"/>
    <w:rsid w:val="00F0509C"/>
    <w:rsid w:val="00F21FA2"/>
    <w:rsid w:val="00F96C1F"/>
    <w:rsid w:val="00FB34D0"/>
    <w:rsid w:val="00FB52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0F1682"/>
  <w15:docId w15:val="{9B8A2853-4D5F-46C1-B01C-41CEB6704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rebuchet MS" w:eastAsia="Trebuchet MS" w:hAnsi="Trebuchet MS" w:cs="Trebuchet MS"/>
    </w:rPr>
  </w:style>
  <w:style w:type="paragraph" w:styleId="Heading1">
    <w:name w:val="heading 1"/>
    <w:basedOn w:val="Normal"/>
    <w:uiPriority w:val="1"/>
    <w:qFormat/>
    <w:pPr>
      <w:spacing w:before="1"/>
      <w:ind w:left="409"/>
      <w:outlineLvl w:val="0"/>
    </w:pPr>
    <w:rPr>
      <w:b/>
      <w:bCs/>
      <w:sz w:val="45"/>
      <w:szCs w:val="4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1"/>
      <w:szCs w:val="21"/>
    </w:rPr>
  </w:style>
  <w:style w:type="paragraph" w:styleId="ListParagraph">
    <w:name w:val="List Paragraph"/>
    <w:basedOn w:val="Normal"/>
    <w:uiPriority w:val="1"/>
    <w:qFormat/>
    <w:pPr>
      <w:spacing w:before="103"/>
      <w:ind w:left="2266" w:hanging="333"/>
    </w:pPr>
  </w:style>
  <w:style w:type="paragraph" w:customStyle="1" w:styleId="TableParagraph">
    <w:name w:val="Table Paragraph"/>
    <w:basedOn w:val="Normal"/>
    <w:uiPriority w:val="1"/>
    <w:qFormat/>
    <w:pPr>
      <w:spacing w:before="39"/>
    </w:pPr>
  </w:style>
  <w:style w:type="paragraph" w:styleId="Header">
    <w:name w:val="header"/>
    <w:basedOn w:val="Normal"/>
    <w:link w:val="HeaderChar"/>
    <w:uiPriority w:val="99"/>
    <w:unhideWhenUsed/>
    <w:rsid w:val="002467D7"/>
    <w:pPr>
      <w:tabs>
        <w:tab w:val="center" w:pos="4680"/>
        <w:tab w:val="right" w:pos="9360"/>
      </w:tabs>
    </w:pPr>
  </w:style>
  <w:style w:type="character" w:customStyle="1" w:styleId="HeaderChar">
    <w:name w:val="Header Char"/>
    <w:basedOn w:val="DefaultParagraphFont"/>
    <w:link w:val="Header"/>
    <w:uiPriority w:val="99"/>
    <w:rsid w:val="002467D7"/>
    <w:rPr>
      <w:rFonts w:ascii="Trebuchet MS" w:eastAsia="Trebuchet MS" w:hAnsi="Trebuchet MS" w:cs="Trebuchet MS"/>
    </w:rPr>
  </w:style>
  <w:style w:type="paragraph" w:styleId="Footer">
    <w:name w:val="footer"/>
    <w:basedOn w:val="Normal"/>
    <w:link w:val="FooterChar"/>
    <w:uiPriority w:val="99"/>
    <w:unhideWhenUsed/>
    <w:rsid w:val="002467D7"/>
    <w:pPr>
      <w:tabs>
        <w:tab w:val="center" w:pos="4680"/>
        <w:tab w:val="right" w:pos="9360"/>
      </w:tabs>
    </w:pPr>
  </w:style>
  <w:style w:type="character" w:customStyle="1" w:styleId="FooterChar">
    <w:name w:val="Footer Char"/>
    <w:basedOn w:val="DefaultParagraphFont"/>
    <w:link w:val="Footer"/>
    <w:uiPriority w:val="99"/>
    <w:rsid w:val="002467D7"/>
    <w:rPr>
      <w:rFonts w:ascii="Trebuchet MS" w:eastAsia="Trebuchet MS" w:hAnsi="Trebuchet MS" w:cs="Trebuchet MS"/>
    </w:rPr>
  </w:style>
  <w:style w:type="character" w:styleId="Hyperlink">
    <w:name w:val="Hyperlink"/>
    <w:basedOn w:val="DefaultParagraphFont"/>
    <w:uiPriority w:val="99"/>
    <w:unhideWhenUsed/>
    <w:rsid w:val="002C7D93"/>
    <w:rPr>
      <w:color w:val="0000FF" w:themeColor="hyperlink"/>
      <w:u w:val="single"/>
    </w:rPr>
  </w:style>
  <w:style w:type="paragraph" w:styleId="BalloonText">
    <w:name w:val="Balloon Text"/>
    <w:basedOn w:val="Normal"/>
    <w:link w:val="BalloonTextChar"/>
    <w:uiPriority w:val="99"/>
    <w:semiHidden/>
    <w:unhideWhenUsed/>
    <w:rsid w:val="00CF6C0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6C00"/>
    <w:rPr>
      <w:rFonts w:ascii="Segoe UI" w:eastAsia="Trebuchet MS" w:hAnsi="Segoe UI" w:cs="Segoe UI"/>
      <w:sz w:val="18"/>
      <w:szCs w:val="18"/>
    </w:rPr>
  </w:style>
  <w:style w:type="table" w:styleId="TableGrid">
    <w:name w:val="Table Grid"/>
    <w:basedOn w:val="TableNormal"/>
    <w:uiPriority w:val="59"/>
    <w:rsid w:val="00E01BE1"/>
    <w:pPr>
      <w:widowControl/>
      <w:autoSpaceDE/>
      <w:autoSpaceDN/>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97C74"/>
    <w:rPr>
      <w:sz w:val="16"/>
      <w:szCs w:val="16"/>
    </w:rPr>
  </w:style>
  <w:style w:type="paragraph" w:styleId="CommentText">
    <w:name w:val="annotation text"/>
    <w:basedOn w:val="Normal"/>
    <w:link w:val="CommentTextChar"/>
    <w:uiPriority w:val="99"/>
    <w:semiHidden/>
    <w:unhideWhenUsed/>
    <w:rsid w:val="00897C74"/>
    <w:rPr>
      <w:sz w:val="20"/>
      <w:szCs w:val="20"/>
    </w:rPr>
  </w:style>
  <w:style w:type="character" w:customStyle="1" w:styleId="CommentTextChar">
    <w:name w:val="Comment Text Char"/>
    <w:basedOn w:val="DefaultParagraphFont"/>
    <w:link w:val="CommentText"/>
    <w:uiPriority w:val="99"/>
    <w:semiHidden/>
    <w:rsid w:val="00897C74"/>
    <w:rPr>
      <w:rFonts w:ascii="Trebuchet MS" w:eastAsia="Trebuchet MS" w:hAnsi="Trebuchet MS" w:cs="Trebuchet MS"/>
      <w:sz w:val="20"/>
      <w:szCs w:val="20"/>
    </w:rPr>
  </w:style>
  <w:style w:type="paragraph" w:styleId="CommentSubject">
    <w:name w:val="annotation subject"/>
    <w:basedOn w:val="CommentText"/>
    <w:next w:val="CommentText"/>
    <w:link w:val="CommentSubjectChar"/>
    <w:uiPriority w:val="99"/>
    <w:semiHidden/>
    <w:unhideWhenUsed/>
    <w:rsid w:val="00897C74"/>
    <w:rPr>
      <w:b/>
      <w:bCs/>
    </w:rPr>
  </w:style>
  <w:style w:type="character" w:customStyle="1" w:styleId="CommentSubjectChar">
    <w:name w:val="Comment Subject Char"/>
    <w:basedOn w:val="CommentTextChar"/>
    <w:link w:val="CommentSubject"/>
    <w:uiPriority w:val="99"/>
    <w:semiHidden/>
    <w:rsid w:val="00897C74"/>
    <w:rPr>
      <w:rFonts w:ascii="Trebuchet MS" w:eastAsia="Trebuchet MS" w:hAnsi="Trebuchet MS" w:cs="Trebuchet MS"/>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0239388">
      <w:bodyDiv w:val="1"/>
      <w:marLeft w:val="0"/>
      <w:marRight w:val="0"/>
      <w:marTop w:val="0"/>
      <w:marBottom w:val="0"/>
      <w:divBdr>
        <w:top w:val="none" w:sz="0" w:space="0" w:color="auto"/>
        <w:left w:val="none" w:sz="0" w:space="0" w:color="auto"/>
        <w:bottom w:val="none" w:sz="0" w:space="0" w:color="auto"/>
        <w:right w:val="none" w:sz="0" w:space="0" w:color="auto"/>
      </w:divBdr>
    </w:div>
    <w:div w:id="18732253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tel:+1-518-402-6993"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bh.org/visitor-information/billing/financial-assistance" TargetMode="External"/><Relationship Id="rId5" Type="http://schemas.openxmlformats.org/officeDocument/2006/relationships/webSettings" Target="webSettings.xml"/><Relationship Id="rId10" Type="http://schemas.openxmlformats.org/officeDocument/2006/relationships/hyperlink" Target="https://aspe.hhs.gov/topics/poverty-economic-mobility/poverty-guidelines" TargetMode="External"/><Relationship Id="rId4" Type="http://schemas.openxmlformats.org/officeDocument/2006/relationships/settings" Target="settings.xml"/><Relationship Id="rId9" Type="http://schemas.openxmlformats.org/officeDocument/2006/relationships/hyperlink" Target="tel:+1-800-804-5447"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66B706-5C0C-4980-AC0B-53998B75E2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2389</Words>
  <Characters>13620</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Financial Assistance, C-210</vt:lpstr>
    </vt:vector>
  </TitlesOfParts>
  <Company>PB01IT01VDI</Company>
  <LinksUpToDate>false</LinksUpToDate>
  <CharactersWithSpaces>15978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Assistance, C-210</dc:title>
  <dc:subject>The Brooklyn Hospital Center</dc:subject>
  <dc:creator>Ferreras, Nelson: Vice President</dc:creator>
  <cp:lastModifiedBy>Friedman, Stacy</cp:lastModifiedBy>
  <cp:revision>2</cp:revision>
  <dcterms:created xsi:type="dcterms:W3CDTF">2026-10-08T02:13:00Z</dcterms:created>
  <dcterms:modified xsi:type="dcterms:W3CDTF">2026-10-08T02:13:00Z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PolicyStat</vt:lpwstr>
  </property>
  <property fmtid="{D5CDD505-2E9C-101B-9397-08002B2CF9AE}" pid="3" name="Producer">
    <vt:lpwstr>Prince 12.5.1 (www.princexml.com)</vt:lpwstr>
  </property>
</Properties>
</file>